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121, DE 08 DE JANEIRO DE 2016 </w:t>
      </w:r>
    </w:p>
    <w:p>
      <w:pPr>
        <w:autoSpaceDN w:val="0"/>
        <w:autoSpaceDE w:val="0"/>
        <w:widowControl/>
        <w:spacing w:line="245" w:lineRule="auto" w:before="642" w:after="0"/>
        <w:ind w:left="5672" w:right="136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Iracemápolis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30, inciso IV, do Estatuto Social da ARES-PCJ e;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na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regulamentação pelo Decreto nº 7.217, de 21/06/2010 e na Lei Municipal nº 1.844,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01/09/2010, pela qual o Município de Iracemápolis ratificou o Protocolo de Intenções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ARES-PCJ, convertido em Contrato de Consórcio Público, e delegou e transferiu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competências à Agência Reguladora PCJ (ARES-PCJ) para o exercício das atividades e funções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regulação e fiscalização dos serviços públicos de saneamento básico; </w:t>
      </w:r>
    </w:p>
    <w:p>
      <w:pPr>
        <w:autoSpaceDN w:val="0"/>
        <w:autoSpaceDE w:val="0"/>
        <w:widowControl/>
        <w:spacing w:line="245" w:lineRule="auto" w:before="344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Prefeitura Municipal de Iracemápolis, através do Departamento de Água e Esgoto - DAE,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pelos serviços públicos de abastecimento de água tratada 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do município, em conformidade com a Resolução ARES-PCJ nº 20, de 08/04/2013,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solicitou estudos visando reajuste dos valores das Tarifas de Água e Esgoto a serem praticados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Município de Iracemápolis; </w:t>
      </w:r>
    </w:p>
    <w:p>
      <w:pPr>
        <w:autoSpaceDN w:val="0"/>
        <w:autoSpaceDE w:val="0"/>
        <w:widowControl/>
        <w:spacing w:line="245" w:lineRule="auto" w:before="348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nº 47/2015, concluiu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aplicação de reajuste de 9,75% (nove inteiros e setenta e cinco centésimos por cento),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 linear em todas as Categorias e Faixas de Consumo, a fim de recuperar o equilíbrio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 - Departamento de Água e Esgoto de Iracemápolis; </w:t>
      </w:r>
    </w:p>
    <w:p>
      <w:pPr>
        <w:autoSpaceDN w:val="0"/>
        <w:autoSpaceDE w:val="0"/>
        <w:widowControl/>
        <w:spacing w:line="245" w:lineRule="auto" w:before="344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Iracemápolis, reunido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dia 07 de janeiro de 2016, analisou e aprovou o Parecer Consolidado nº 47/2015, inclusive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índice de 9,75% (nove inteiros e setenta e cinco centésimos por cento), de reajuste proposto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Agência Reguladora PCJ a ser aplicado nas Tarifas de Água e Esgoto e nos Preços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demais serviços prestados pelo DAE - Departamento de Água e Esgoto de Iracemápolis;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88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121 – 08/01/2016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 </w:t>
      </w:r>
    </w:p>
    <w:p>
      <w:pPr>
        <w:autoSpaceDN w:val="0"/>
        <w:autoSpaceDE w:val="0"/>
        <w:widowControl/>
        <w:spacing w:line="240" w:lineRule="auto" w:before="6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9991090</wp:posOffset>
            </wp:positionV>
            <wp:extent cx="7559040" cy="685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1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tarifário, 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 da ARES-PCJ, reunida em 08 de janeiro de 2016,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de Esgoto praticadas pelo DAE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de Água e Esgoto, no Município de Iracemápolis, em 9,75% (nove inteiros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setenta e cinco centésimos por cento), em todas as Categorias de Usuários e Faixas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Consumo, a partir de fevereiro de 2016. </w:t>
      </w:r>
    </w:p>
    <w:p>
      <w:pPr>
        <w:autoSpaceDN w:val="0"/>
        <w:autoSpaceDE w:val="0"/>
        <w:widowControl/>
        <w:spacing w:line="245" w:lineRule="auto" w:before="344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 - Departamento de Água e Esgoto, no Município de Iracemápolis, em 9,75% (nove inteiros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setenta e cinco centésimos por cento), a partir de fevereiro de 2016.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Fixar os novos valores das Tarifas de Água e Esgoto 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a serem praticados pelo DAE - Departamento de Água e Esgoto de Iracemápolis,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apresentado respectivamente nos Anexos I e II,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Os novos valores das Tarifas de Água e Esgoto 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a serem praticados pelo DAE - Departamento de Água e Esgoto, entrarão em vigor 30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(trinta) dias após a publicação desta Resolução na imprensa oficial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Iracemápolis, conforme determina o Art. 39, da Lei Federal nº 11.445/2007, com efetiva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aplicação a partir do mês de fevereiro de 2016. </w:t>
      </w:r>
    </w:p>
    <w:p>
      <w:pPr>
        <w:autoSpaceDN w:val="0"/>
        <w:autoSpaceDE w:val="0"/>
        <w:widowControl/>
        <w:spacing w:line="245" w:lineRule="auto" w:before="344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DAE - Departamento de Água e Esgoto de Iracemápolis obedecerá ao prazo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para iniciar as leituras e medições e posterior emissão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respectivas Contas/Faturas com novos os valores, ora reajustados.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DAE - Departamento de Água e Esgoto de Iracemápolis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afixará tabela com os novos valores estabelecidos nesta Resolução em local de fácil acesso,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seu sítio na Internet e, através de mensagens em suas Contas/Faturas, informará que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foram reajustados e a data de início da vigência desses novos valores.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8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93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121 – 08/01/2016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 </w:t>
      </w:r>
    </w:p>
    <w:p>
      <w:pPr>
        <w:autoSpaceDN w:val="0"/>
        <w:autoSpaceDE w:val="0"/>
        <w:widowControl/>
        <w:spacing w:line="240" w:lineRule="auto" w:before="6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9991090</wp:posOffset>
            </wp:positionV>
            <wp:extent cx="7559040" cy="685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1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121, DE 08 DE JANEIRO DE 2016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8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-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5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4"/>
        </w:trPr>
        <w:tc>
          <w:tcPr>
            <w:tcW w:type="dxa" w:w="8002"/>
            <w:gridSpan w:val="5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594"/>
        </w:trPr>
        <w:tc>
          <w:tcPr>
            <w:tcW w:type="dxa" w:w="250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2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4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02"/>
        </w:trPr>
        <w:tc>
          <w:tcPr>
            <w:tcW w:type="dxa" w:w="25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7,14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5,72 </w:t>
            </w:r>
          </w:p>
        </w:tc>
        <w:tc>
          <w:tcPr>
            <w:tcW w:type="dxa" w:w="1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12,86 </w:t>
            </w:r>
          </w:p>
        </w:tc>
      </w:tr>
      <w:tr>
        <w:trPr>
          <w:trHeight w:hRule="exact" w:val="306"/>
        </w:trPr>
        <w:tc>
          <w:tcPr>
            <w:tcW w:type="dxa" w:w="25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30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1,06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0,86 </w:t>
            </w:r>
          </w:p>
        </w:tc>
        <w:tc>
          <w:tcPr>
            <w:tcW w:type="dxa" w:w="1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1,92 </w:t>
            </w:r>
          </w:p>
        </w:tc>
      </w:tr>
      <w:tr>
        <w:trPr>
          <w:trHeight w:hRule="exact" w:val="304"/>
        </w:trPr>
        <w:tc>
          <w:tcPr>
            <w:tcW w:type="dxa" w:w="25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2,86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2,29 </w:t>
            </w:r>
          </w:p>
        </w:tc>
        <w:tc>
          <w:tcPr>
            <w:tcW w:type="dxa" w:w="1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5,15 </w:t>
            </w:r>
          </w:p>
        </w:tc>
      </w:tr>
      <w:tr>
        <w:trPr>
          <w:trHeight w:hRule="exact" w:val="302"/>
        </w:trPr>
        <w:tc>
          <w:tcPr>
            <w:tcW w:type="dxa" w:w="25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40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4,28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3,42 </w:t>
            </w:r>
          </w:p>
        </w:tc>
        <w:tc>
          <w:tcPr>
            <w:tcW w:type="dxa" w:w="1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7,70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5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6"/>
        </w:trPr>
        <w:tc>
          <w:tcPr>
            <w:tcW w:type="dxa" w:w="8002"/>
            <w:gridSpan w:val="5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594"/>
        </w:trPr>
        <w:tc>
          <w:tcPr>
            <w:tcW w:type="dxa" w:w="25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04"/>
        </w:trPr>
        <w:tc>
          <w:tcPr>
            <w:tcW w:type="dxa" w:w="25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14,29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11,42 </w:t>
            </w:r>
          </w:p>
        </w:tc>
        <w:tc>
          <w:tcPr>
            <w:tcW w:type="dxa" w:w="1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25,71 </w:t>
            </w:r>
          </w:p>
        </w:tc>
      </w:tr>
      <w:tr>
        <w:trPr>
          <w:trHeight w:hRule="exact" w:val="304"/>
        </w:trPr>
        <w:tc>
          <w:tcPr>
            <w:tcW w:type="dxa" w:w="25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30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1,42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1,13 </w:t>
            </w:r>
          </w:p>
        </w:tc>
        <w:tc>
          <w:tcPr>
            <w:tcW w:type="dxa" w:w="13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2,55 </w:t>
            </w:r>
          </w:p>
        </w:tc>
      </w:tr>
      <w:tr>
        <w:trPr>
          <w:trHeight w:hRule="exact" w:val="302"/>
        </w:trPr>
        <w:tc>
          <w:tcPr>
            <w:tcW w:type="dxa" w:w="250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2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2,86 </w:t>
            </w:r>
          </w:p>
        </w:tc>
        <w:tc>
          <w:tcPr>
            <w:tcW w:type="dxa" w:w="14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2,29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5,15 </w:t>
            </w:r>
          </w:p>
        </w:tc>
      </w:tr>
      <w:tr>
        <w:trPr>
          <w:trHeight w:hRule="exact" w:val="302"/>
        </w:trPr>
        <w:tc>
          <w:tcPr>
            <w:tcW w:type="dxa" w:w="25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40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4,28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3,42 </w:t>
            </w:r>
          </w:p>
        </w:tc>
        <w:tc>
          <w:tcPr>
            <w:tcW w:type="dxa" w:w="1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7,70 </w:t>
            </w:r>
          </w:p>
        </w:tc>
      </w:tr>
    </w:tbl>
    <w:p>
      <w:pPr>
        <w:autoSpaceDN w:val="0"/>
        <w:autoSpaceDE w:val="0"/>
        <w:widowControl/>
        <w:spacing w:line="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5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2"/>
        </w:trPr>
        <w:tc>
          <w:tcPr>
            <w:tcW w:type="dxa" w:w="8002"/>
            <w:gridSpan w:val="5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598"/>
        </w:trPr>
        <w:tc>
          <w:tcPr>
            <w:tcW w:type="dxa" w:w="25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00"/>
        </w:trPr>
        <w:tc>
          <w:tcPr>
            <w:tcW w:type="dxa" w:w="25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17,86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14,29 </w:t>
            </w:r>
          </w:p>
        </w:tc>
        <w:tc>
          <w:tcPr>
            <w:tcW w:type="dxa" w:w="1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32,15 </w:t>
            </w:r>
          </w:p>
        </w:tc>
      </w:tr>
      <w:tr>
        <w:trPr>
          <w:trHeight w:hRule="exact" w:val="302"/>
        </w:trPr>
        <w:tc>
          <w:tcPr>
            <w:tcW w:type="dxa" w:w="25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30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1,79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1,43 </w:t>
            </w:r>
          </w:p>
        </w:tc>
        <w:tc>
          <w:tcPr>
            <w:tcW w:type="dxa" w:w="1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3,22 </w:t>
            </w:r>
          </w:p>
        </w:tc>
      </w:tr>
      <w:tr>
        <w:trPr>
          <w:trHeight w:hRule="exact" w:val="306"/>
        </w:trPr>
        <w:tc>
          <w:tcPr>
            <w:tcW w:type="dxa" w:w="25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3,57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2,85 </w:t>
            </w:r>
          </w:p>
        </w:tc>
        <w:tc>
          <w:tcPr>
            <w:tcW w:type="dxa" w:w="1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6,42 </w:t>
            </w:r>
          </w:p>
        </w:tc>
      </w:tr>
      <w:tr>
        <w:trPr>
          <w:trHeight w:hRule="exact" w:val="302"/>
        </w:trPr>
        <w:tc>
          <w:tcPr>
            <w:tcW w:type="dxa" w:w="25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40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5,36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4,29 </w:t>
            </w:r>
          </w:p>
        </w:tc>
        <w:tc>
          <w:tcPr>
            <w:tcW w:type="dxa" w:w="1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9,65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5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2"/>
        </w:trPr>
        <w:tc>
          <w:tcPr>
            <w:tcW w:type="dxa" w:w="8002"/>
            <w:gridSpan w:val="5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600"/>
        </w:trPr>
        <w:tc>
          <w:tcPr>
            <w:tcW w:type="dxa" w:w="25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00"/>
        </w:trPr>
        <w:tc>
          <w:tcPr>
            <w:tcW w:type="dxa" w:w="25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20,00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16,00 </w:t>
            </w:r>
          </w:p>
        </w:tc>
        <w:tc>
          <w:tcPr>
            <w:tcW w:type="dxa" w:w="1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36,00 </w:t>
            </w:r>
          </w:p>
        </w:tc>
      </w:tr>
      <w:tr>
        <w:trPr>
          <w:trHeight w:hRule="exact" w:val="302"/>
        </w:trPr>
        <w:tc>
          <w:tcPr>
            <w:tcW w:type="dxa" w:w="25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30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2,00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1,60 </w:t>
            </w:r>
          </w:p>
        </w:tc>
        <w:tc>
          <w:tcPr>
            <w:tcW w:type="dxa" w:w="1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3,60 </w:t>
            </w:r>
          </w:p>
        </w:tc>
      </w:tr>
      <w:tr>
        <w:trPr>
          <w:trHeight w:hRule="exact" w:val="304"/>
        </w:trPr>
        <w:tc>
          <w:tcPr>
            <w:tcW w:type="dxa" w:w="25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3,99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3,19 </w:t>
            </w:r>
          </w:p>
        </w:tc>
        <w:tc>
          <w:tcPr>
            <w:tcW w:type="dxa" w:w="1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7,18 </w:t>
            </w:r>
          </w:p>
        </w:tc>
      </w:tr>
      <w:tr>
        <w:trPr>
          <w:trHeight w:hRule="exact" w:val="304"/>
        </w:trPr>
        <w:tc>
          <w:tcPr>
            <w:tcW w:type="dxa" w:w="25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40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5,99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4,80 </w:t>
            </w:r>
          </w:p>
        </w:tc>
        <w:tc>
          <w:tcPr>
            <w:tcW w:type="dxa" w:w="1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10,79 </w:t>
            </w:r>
          </w:p>
        </w:tc>
      </w:tr>
    </w:tbl>
    <w:p>
      <w:pPr>
        <w:autoSpaceDN w:val="0"/>
        <w:autoSpaceDE w:val="0"/>
        <w:widowControl/>
        <w:spacing w:line="14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54"/>
        </w:trPr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121 – 08/01/2016 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3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9991090</wp:posOffset>
            </wp:positionV>
            <wp:extent cx="7559040" cy="685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1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4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5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2"/>
        </w:trPr>
        <w:tc>
          <w:tcPr>
            <w:tcW w:type="dxa" w:w="8002"/>
            <w:gridSpan w:val="5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RURAL </w:t>
            </w:r>
          </w:p>
        </w:tc>
      </w:tr>
      <w:tr>
        <w:trPr>
          <w:trHeight w:hRule="exact" w:val="598"/>
        </w:trPr>
        <w:tc>
          <w:tcPr>
            <w:tcW w:type="dxa" w:w="25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02"/>
        </w:trPr>
        <w:tc>
          <w:tcPr>
            <w:tcW w:type="dxa" w:w="25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14,29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11,42 </w:t>
            </w:r>
          </w:p>
        </w:tc>
        <w:tc>
          <w:tcPr>
            <w:tcW w:type="dxa" w:w="1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25,71 </w:t>
            </w:r>
          </w:p>
        </w:tc>
      </w:tr>
      <w:tr>
        <w:trPr>
          <w:trHeight w:hRule="exact" w:val="302"/>
        </w:trPr>
        <w:tc>
          <w:tcPr>
            <w:tcW w:type="dxa" w:w="25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30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1,42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1,13 </w:t>
            </w:r>
          </w:p>
        </w:tc>
        <w:tc>
          <w:tcPr>
            <w:tcW w:type="dxa" w:w="139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2,55 </w:t>
            </w:r>
          </w:p>
        </w:tc>
      </w:tr>
      <w:tr>
        <w:trPr>
          <w:trHeight w:hRule="exact" w:val="304"/>
        </w:trPr>
        <w:tc>
          <w:tcPr>
            <w:tcW w:type="dxa" w:w="2500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2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2,86 </w:t>
            </w:r>
          </w:p>
        </w:tc>
        <w:tc>
          <w:tcPr>
            <w:tcW w:type="dxa" w:w="146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2,29 </w:t>
            </w:r>
          </w:p>
        </w:tc>
        <w:tc>
          <w:tcPr>
            <w:tcW w:type="dxa" w:w="139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5,15 </w:t>
            </w:r>
          </w:p>
        </w:tc>
      </w:tr>
      <w:tr>
        <w:trPr>
          <w:trHeight w:hRule="exact" w:val="302"/>
        </w:trPr>
        <w:tc>
          <w:tcPr>
            <w:tcW w:type="dxa" w:w="25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40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4,28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3,42 </w:t>
            </w:r>
          </w:p>
        </w:tc>
        <w:tc>
          <w:tcPr>
            <w:tcW w:type="dxa" w:w="1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7,70 </w:t>
            </w:r>
          </w:p>
        </w:tc>
      </w:tr>
    </w:tbl>
    <w:p>
      <w:pPr>
        <w:autoSpaceDN w:val="0"/>
        <w:autoSpaceDE w:val="0"/>
        <w:widowControl/>
        <w:spacing w:line="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5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0"/>
        </w:trPr>
        <w:tc>
          <w:tcPr>
            <w:tcW w:type="dxa" w:w="8002"/>
            <w:gridSpan w:val="5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PÚBLICO ESTADUAL </w:t>
            </w:r>
          </w:p>
        </w:tc>
      </w:tr>
      <w:tr>
        <w:trPr>
          <w:trHeight w:hRule="exact" w:val="596"/>
        </w:trPr>
        <w:tc>
          <w:tcPr>
            <w:tcW w:type="dxa" w:w="25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04"/>
        </w:trPr>
        <w:tc>
          <w:tcPr>
            <w:tcW w:type="dxa" w:w="25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14,29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11,42 </w:t>
            </w:r>
          </w:p>
        </w:tc>
        <w:tc>
          <w:tcPr>
            <w:tcW w:type="dxa" w:w="1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25,71 </w:t>
            </w:r>
          </w:p>
        </w:tc>
      </w:tr>
      <w:tr>
        <w:trPr>
          <w:trHeight w:hRule="exact" w:val="304"/>
        </w:trPr>
        <w:tc>
          <w:tcPr>
            <w:tcW w:type="dxa" w:w="25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30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1,42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1,13 </w:t>
            </w:r>
          </w:p>
        </w:tc>
        <w:tc>
          <w:tcPr>
            <w:tcW w:type="dxa" w:w="13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2,55 </w:t>
            </w:r>
          </w:p>
        </w:tc>
      </w:tr>
      <w:tr>
        <w:trPr>
          <w:trHeight w:hRule="exact" w:val="302"/>
        </w:trPr>
        <w:tc>
          <w:tcPr>
            <w:tcW w:type="dxa" w:w="250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23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2,86 </w:t>
            </w:r>
          </w:p>
        </w:tc>
        <w:tc>
          <w:tcPr>
            <w:tcW w:type="dxa" w:w="146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2,29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5,15 </w:t>
            </w:r>
          </w:p>
        </w:tc>
      </w:tr>
      <w:tr>
        <w:trPr>
          <w:trHeight w:hRule="exact" w:val="304"/>
        </w:trPr>
        <w:tc>
          <w:tcPr>
            <w:tcW w:type="dxa" w:w="2500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40 </w:t>
            </w:r>
          </w:p>
        </w:tc>
        <w:tc>
          <w:tcPr>
            <w:tcW w:type="dxa" w:w="123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4,28 </w:t>
            </w:r>
          </w:p>
        </w:tc>
        <w:tc>
          <w:tcPr>
            <w:tcW w:type="dxa" w:w="146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3,42 </w:t>
            </w:r>
          </w:p>
        </w:tc>
        <w:tc>
          <w:tcPr>
            <w:tcW w:type="dxa" w:w="139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7,70 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5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4"/>
        </w:trPr>
        <w:tc>
          <w:tcPr>
            <w:tcW w:type="dxa" w:w="8002"/>
            <w:gridSpan w:val="5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PÚBLICO MUNICIPAL </w:t>
            </w:r>
          </w:p>
        </w:tc>
      </w:tr>
      <w:tr>
        <w:trPr>
          <w:trHeight w:hRule="exact" w:val="594"/>
        </w:trPr>
        <w:tc>
          <w:tcPr>
            <w:tcW w:type="dxa" w:w="25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3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02"/>
        </w:trPr>
        <w:tc>
          <w:tcPr>
            <w:tcW w:type="dxa" w:w="250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23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14,29 </w:t>
            </w:r>
          </w:p>
        </w:tc>
        <w:tc>
          <w:tcPr>
            <w:tcW w:type="dxa" w:w="146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11,42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25,71 </w:t>
            </w:r>
          </w:p>
        </w:tc>
      </w:tr>
      <w:tr>
        <w:trPr>
          <w:trHeight w:hRule="exact" w:val="304"/>
        </w:trPr>
        <w:tc>
          <w:tcPr>
            <w:tcW w:type="dxa" w:w="2500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30 </w:t>
            </w:r>
          </w:p>
        </w:tc>
        <w:tc>
          <w:tcPr>
            <w:tcW w:type="dxa" w:w="123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1,42 </w:t>
            </w:r>
          </w:p>
        </w:tc>
        <w:tc>
          <w:tcPr>
            <w:tcW w:type="dxa" w:w="146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1,13 </w:t>
            </w:r>
          </w:p>
        </w:tc>
        <w:tc>
          <w:tcPr>
            <w:tcW w:type="dxa" w:w="139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2,55 </w:t>
            </w:r>
          </w:p>
        </w:tc>
      </w:tr>
      <w:tr>
        <w:trPr>
          <w:trHeight w:hRule="exact" w:val="304"/>
        </w:trPr>
        <w:tc>
          <w:tcPr>
            <w:tcW w:type="dxa" w:w="25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2,86 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2,29 </w:t>
            </w:r>
          </w:p>
        </w:tc>
        <w:tc>
          <w:tcPr>
            <w:tcW w:type="dxa" w:w="13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5,15 </w:t>
            </w:r>
          </w:p>
        </w:tc>
      </w:tr>
      <w:tr>
        <w:trPr>
          <w:trHeight w:hRule="exact" w:val="302"/>
        </w:trPr>
        <w:tc>
          <w:tcPr>
            <w:tcW w:type="dxa" w:w="250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40 </w:t>
            </w:r>
          </w:p>
        </w:tc>
        <w:tc>
          <w:tcPr>
            <w:tcW w:type="dxa" w:w="123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4,28 </w:t>
            </w:r>
          </w:p>
        </w:tc>
        <w:tc>
          <w:tcPr>
            <w:tcW w:type="dxa" w:w="146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3,42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7,70 </w:t>
            </w:r>
          </w:p>
        </w:tc>
      </w:tr>
    </w:tbl>
    <w:p>
      <w:pPr>
        <w:autoSpaceDN w:val="0"/>
        <w:autoSpaceDE w:val="0"/>
        <w:widowControl/>
        <w:spacing w:line="197" w:lineRule="auto" w:before="4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NOTA: Os valores das Tarifas de Esgoto correspondem a 80% dos valores das Tarifas de Água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544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121 – 08/01/2016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4 </w:t>
      </w:r>
    </w:p>
    <w:p>
      <w:pPr>
        <w:autoSpaceDN w:val="0"/>
        <w:autoSpaceDE w:val="0"/>
        <w:widowControl/>
        <w:spacing w:line="240" w:lineRule="auto" w:before="6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9991090</wp:posOffset>
            </wp:positionV>
            <wp:extent cx="7559040" cy="6858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1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121, DE 08 DE JANEIRO DE 2016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8" w:after="29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-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4513"/>
        <w:gridCol w:w="4513"/>
      </w:tblGrid>
      <w:tr>
        <w:trPr>
          <w:trHeight w:hRule="exact" w:val="886"/>
        </w:trPr>
        <w:tc>
          <w:tcPr>
            <w:tcW w:type="dxa" w:w="7372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DO SERVIÇO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PREÇO PÚBLICO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(R$/POR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SERVIÇO) </w:t>
            </w:r>
          </w:p>
        </w:tc>
      </w:tr>
      <w:tr>
        <w:trPr>
          <w:trHeight w:hRule="exact" w:val="580"/>
        </w:trPr>
        <w:tc>
          <w:tcPr>
            <w:tcW w:type="dxa" w:w="7372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do fornecimento de água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10,98 </w:t>
            </w:r>
          </w:p>
        </w:tc>
      </w:tr>
      <w:tr>
        <w:trPr>
          <w:trHeight w:hRule="exact" w:val="574"/>
        </w:trPr>
        <w:tc>
          <w:tcPr>
            <w:tcW w:type="dxa" w:w="7372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do fornecimento de água com serviço de demolição de calçada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54,88 </w:t>
            </w:r>
          </w:p>
        </w:tc>
      </w:tr>
      <w:tr>
        <w:trPr>
          <w:trHeight w:hRule="exact" w:val="576"/>
        </w:trPr>
        <w:tc>
          <w:tcPr>
            <w:tcW w:type="dxa" w:w="7372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Reparo no cavalete sem o fornecimento de peças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16,46 </w:t>
            </w:r>
          </w:p>
        </w:tc>
      </w:tr>
      <w:tr>
        <w:trPr>
          <w:trHeight w:hRule="exact" w:val="580"/>
        </w:trPr>
        <w:tc>
          <w:tcPr>
            <w:tcW w:type="dxa" w:w="7372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hidrômetro sem o fornecimento do equipamento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27,44 </w:t>
            </w:r>
          </w:p>
        </w:tc>
      </w:tr>
      <w:tr>
        <w:trPr>
          <w:trHeight w:hRule="exact" w:val="574"/>
        </w:trPr>
        <w:tc>
          <w:tcPr>
            <w:tcW w:type="dxa" w:w="7372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Verificação e lacração de hidrômetro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10,98 </w:t>
            </w:r>
          </w:p>
        </w:tc>
      </w:tr>
      <w:tr>
        <w:trPr>
          <w:trHeight w:hRule="exact" w:val="580"/>
        </w:trPr>
        <w:tc>
          <w:tcPr>
            <w:tcW w:type="dxa" w:w="7372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normal de água cortada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10,98 </w:t>
            </w:r>
          </w:p>
        </w:tc>
      </w:tr>
      <w:tr>
        <w:trPr>
          <w:trHeight w:hRule="exact" w:val="576"/>
        </w:trPr>
        <w:tc>
          <w:tcPr>
            <w:tcW w:type="dxa" w:w="7372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com serviço de reparação de calçada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54,88 </w:t>
            </w:r>
          </w:p>
        </w:tc>
      </w:tr>
      <w:tr>
        <w:trPr>
          <w:trHeight w:hRule="exact" w:val="576"/>
        </w:trPr>
        <w:tc>
          <w:tcPr>
            <w:tcW w:type="dxa" w:w="7372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hidrômetro com o fornecimento do equipamento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120,73 </w:t>
            </w:r>
          </w:p>
        </w:tc>
      </w:tr>
      <w:tr>
        <w:trPr>
          <w:trHeight w:hRule="exact" w:val="578"/>
        </w:trPr>
        <w:tc>
          <w:tcPr>
            <w:tcW w:type="dxa" w:w="7372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de vazamento interno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16,46 </w:t>
            </w:r>
          </w:p>
        </w:tc>
      </w:tr>
      <w:tr>
        <w:trPr>
          <w:trHeight w:hRule="exact" w:val="578"/>
        </w:trPr>
        <w:tc>
          <w:tcPr>
            <w:tcW w:type="dxa" w:w="7372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nova de água com corte de reparação de pavimento e calçada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384,13 </w:t>
            </w:r>
          </w:p>
        </w:tc>
      </w:tr>
      <w:tr>
        <w:trPr>
          <w:trHeight w:hRule="exact" w:val="578"/>
        </w:trPr>
        <w:tc>
          <w:tcPr>
            <w:tcW w:type="dxa" w:w="7372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nova de esgoto com corte de reparação de pavimento e calçada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504,85 </w:t>
            </w:r>
          </w:p>
        </w:tc>
      </w:tr>
      <w:tr>
        <w:trPr>
          <w:trHeight w:hRule="exact" w:val="574"/>
        </w:trPr>
        <w:tc>
          <w:tcPr>
            <w:tcW w:type="dxa" w:w="7372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3/4" com fornecimento de material e hidrômetro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219,50 </w:t>
            </w:r>
          </w:p>
        </w:tc>
      </w:tr>
      <w:tr>
        <w:trPr>
          <w:trHeight w:hRule="exact" w:val="580"/>
        </w:trPr>
        <w:tc>
          <w:tcPr>
            <w:tcW w:type="dxa" w:w="7372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nova de esgoto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329,25 </w:t>
            </w:r>
          </w:p>
        </w:tc>
      </w:tr>
    </w:tbl>
    <w:p>
      <w:pPr>
        <w:autoSpaceDN w:val="0"/>
        <w:autoSpaceDE w:val="0"/>
        <w:widowControl/>
        <w:spacing w:line="29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54"/>
        </w:trPr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121 – 08/01/2016 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240" w:lineRule="auto" w:before="3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9991090</wp:posOffset>
            </wp:positionV>
            <wp:extent cx="7559040" cy="6858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41"/>
      <w:pgMar w:top="142" w:right="0" w:bottom="1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