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271780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118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142, DE 24 DE JUNHO DE 2016 </w:t>
      </w:r>
    </w:p>
    <w:p>
      <w:pPr>
        <w:autoSpaceDN w:val="0"/>
        <w:autoSpaceDE w:val="0"/>
        <w:widowControl/>
        <w:spacing w:line="868" w:lineRule="exact" w:before="0" w:after="0"/>
        <w:ind w:left="0" w:right="1362" w:firstLine="0"/>
        <w:jc w:val="right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serviços de água e esgoto a serem aplicados no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Município de Paraibuna e dá outras providências.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REGULADORA PCJ),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600" w:lineRule="exact" w:before="280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as premissas constantes na Lei Federal nº 11.445, de 05/01/2007, no Decreto Federal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7.217, de 21/06/2010 e na Lei Municipal nº 2.910, de 22/07/2014, que autorizou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Município de Paraibuna a firmar o Convênio de Cooperação nº 01/2015 para delegação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competências municipais de regulação e fiscalização dos serviços de saneamento básico no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Município, inclusive das funções de regulação econômica, à Agência Reguladora PCJ (ARES-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PCJ);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Companhia de Água e Esgoto de Paraibuna – CAEPA, responsável pelos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públicos de abastecimento de água tratada e esgotamento sanitário do Município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Paraibuna, em conformidade com a Resolução ARES-PCJ nº 70/2014, solicitou reajuste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valores das Tarifas de Água e Esgoto e dos demais serviços públicos;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Agência Reguladora PCJ, através do Parecer Consolidado nº 20/2016 concluiu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reajuste dos valores das Tarifas de Água e dos Preços Públicos dos demais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praticados pela Companhia de Água e Esgoto de Paraibuna – CAEPA em 16,65% (dezesseis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inteiros e sessenta e cinco centésimos por cento);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os membros do Conselho de Regulação e Controle Social do Município de Paraibuna,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conforme Ata de Reunião Ordinária realizada em 23 de junho de 2016, analisaram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aprovaram a solicitação de reajuste do município e o conteúdo do Parecer Consolidado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20/2016 da ARES-PCJ;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Executiva da ARES-PCJ, reunida em 24 de junho de 2016, na sede da ARES-PCJ, às 15h; </w:t>
      </w:r>
    </w:p>
    <w:p>
      <w:pPr>
        <w:autoSpaceDN w:val="0"/>
        <w:tabs>
          <w:tab w:pos="10406" w:val="left"/>
        </w:tabs>
        <w:autoSpaceDE w:val="0"/>
        <w:widowControl/>
        <w:spacing w:line="402" w:lineRule="exact" w:before="25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Resolução ARES-PCJ nº 142/2016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1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10007600</wp:posOffset>
            </wp:positionV>
            <wp:extent cx="755777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271780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452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 - Reajustar os atuais valores das Tarifas de Água e Esgoto praticadas pela Companhia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e Esgoto de Paraibuna – CAEPA em 16,65% (dezesseis inteiros e sessenta e cinco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centésimos por cento), linearmente em todas as categorias e faixas de consumo, a partir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1º de agosto de 2016.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Art.2º - Reajustar os atuais valores dos Preços Públicos dos demais serviços praticados pela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Companhia de Água e Esgoto de Paraibuna – CAEPA em 16,65% (dezesseis inteiros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sessenta e cinco centésimos por cento), a partir de 1º de agosto de 2016.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3º - Fixar os novos valores das Tarifas de Água e Esgoto praticadas pela Companhia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e Esgoto de Paraibuna – CAEPA, conforme Tabela 1, do Anexo I desta Resolução.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Companhia de Água e Esgoto de Paraibuna – CAEPA, conforme apresentado na Tabela 2,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5º -Para fins de divulgação, a Companhia de Água e Esgoto de Paraibuna – CAEPA afixará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tabelas com os novos valores das Tarifas de Água e Esgoto e dos Preços Públicos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6º - Os novos valores, estabelecidos nesta Resolução, somente serão praticados pela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Companhia de Água e Esgoto de Paraibuna – CAEPA após 30 (trinta) dias da publicação desta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Resolução na imprensa oficial ou em jornal de circulação no Município de Paraibuna,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 realização das leituras/medições e as emissões das respectivas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600" w:lineRule="exact" w:before="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892" w:lineRule="exact" w:before="57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DALTO FAVERO BROCHI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406" w:val="left"/>
        </w:tabs>
        <w:autoSpaceDE w:val="0"/>
        <w:widowControl/>
        <w:spacing w:line="402" w:lineRule="exact" w:before="118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Resolução ARES-PCJ nº 142/2016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12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10007600</wp:posOffset>
            </wp:positionV>
            <wp:extent cx="755777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271780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56" w:lineRule="exact" w:before="264" w:after="0"/>
        <w:ind w:left="2592" w:right="2592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142, DE 24 DE JUNHO DE 2016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1 - VALORES DAS TARIFAS DE ÁGUA E ESGOTO </w:t>
      </w:r>
    </w:p>
    <w:p>
      <w:pPr>
        <w:autoSpaceDN w:val="0"/>
        <w:autoSpaceDE w:val="0"/>
        <w:widowControl/>
        <w:spacing w:line="552" w:lineRule="exact" w:before="360" w:after="0"/>
        <w:ind w:left="0" w:right="3524" w:firstLine="0"/>
        <w:jc w:val="right"/>
      </w:pPr>
      <w:r>
        <w:rPr>
          <w:rFonts w:ascii="CIDFont+F2" w:hAnsi="CIDFont+F2" w:eastAsia="CIDFont+F2"/>
          <w:b/>
          <w:i w:val="0"/>
          <w:color w:val="000000"/>
          <w:sz w:val="22"/>
        </w:rPr>
        <w:t xml:space="preserve">TARIFA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94.0" w:type="dxa"/>
      </w:tblPr>
      <w:tblGrid>
        <w:gridCol w:w="2256"/>
        <w:gridCol w:w="2256"/>
        <w:gridCol w:w="2256"/>
        <w:gridCol w:w="2256"/>
      </w:tblGrid>
      <w:tr>
        <w:trPr>
          <w:trHeight w:hRule="exact" w:val="334"/>
        </w:trPr>
        <w:tc>
          <w:tcPr>
            <w:tcW w:type="dxa" w:w="2380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TIPO </w:t>
            </w:r>
          </w:p>
        </w:tc>
        <w:tc>
          <w:tcPr>
            <w:tcW w:type="dxa" w:w="1718"/>
            <w:vMerge w:val="restart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CONSUMO M³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CLASSE DE </w:t>
            </w:r>
          </w:p>
        </w:tc>
        <w:tc>
          <w:tcPr>
            <w:tcW w:type="dxa" w:w="4020"/>
            <w:gridSpan w:val="2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36"/>
        </w:trPr>
        <w:tc>
          <w:tcPr>
            <w:tcW w:type="dxa" w:w="2256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</w:tcPr>
          <w:p/>
        </w:tc>
        <w:tc>
          <w:tcPr>
            <w:tcW w:type="dxa" w:w="2256"/>
            <w:vMerge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</w:tcPr>
          <w:p/>
        </w:tc>
        <w:tc>
          <w:tcPr>
            <w:tcW w:type="dxa" w:w="2100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ÁGUA  R$/m³</w:t>
            </w:r>
          </w:p>
        </w:tc>
        <w:tc>
          <w:tcPr>
            <w:tcW w:type="dxa" w:w="1920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ESGOTO R$/m³</w:t>
            </w:r>
          </w:p>
        </w:tc>
      </w:tr>
      <w:tr>
        <w:trPr>
          <w:trHeight w:hRule="exact" w:val="334"/>
        </w:trPr>
        <w:tc>
          <w:tcPr>
            <w:tcW w:type="dxa" w:w="2380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47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RESIDENCIAL SOCIAL </w:t>
            </w:r>
          </w:p>
        </w:tc>
        <w:tc>
          <w:tcPr>
            <w:tcW w:type="dxa" w:w="1718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01 a 10</w:t>
            </w:r>
          </w:p>
        </w:tc>
        <w:tc>
          <w:tcPr>
            <w:tcW w:type="dxa" w:w="2100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6,94</w:t>
            </w:r>
          </w:p>
        </w:tc>
        <w:tc>
          <w:tcPr>
            <w:tcW w:type="dxa" w:w="1920"/>
            <w:tcBorders>
              <w:start w:sz="7.200000000000273" w:val="single" w:color="#000000"/>
              <w:top w:sz="7.2000000000000455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5,55</w:t>
            </w:r>
          </w:p>
        </w:tc>
      </w:tr>
      <w:tr>
        <w:trPr>
          <w:trHeight w:hRule="exact" w:val="336"/>
        </w:trPr>
        <w:tc>
          <w:tcPr>
            <w:tcW w:type="dxa" w:w="2256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 a 20</w:t>
            </w:r>
          </w:p>
        </w:tc>
        <w:tc>
          <w:tcPr>
            <w:tcW w:type="dxa" w:w="2100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1,08</w:t>
            </w:r>
          </w:p>
        </w:tc>
        <w:tc>
          <w:tcPr>
            <w:tcW w:type="dxa" w:w="1920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0,86</w:t>
            </w:r>
          </w:p>
        </w:tc>
      </w:tr>
      <w:tr>
        <w:trPr>
          <w:trHeight w:hRule="exact" w:val="334"/>
        </w:trPr>
        <w:tc>
          <w:tcPr>
            <w:tcW w:type="dxa" w:w="2256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21 a 30</w:t>
            </w:r>
          </w:p>
        </w:tc>
        <w:tc>
          <w:tcPr>
            <w:tcW w:type="dxa" w:w="2100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2,34</w:t>
            </w:r>
          </w:p>
        </w:tc>
        <w:tc>
          <w:tcPr>
            <w:tcW w:type="dxa" w:w="1920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1,87</w:t>
            </w:r>
          </w:p>
        </w:tc>
      </w:tr>
      <w:tr>
        <w:trPr>
          <w:trHeight w:hRule="exact" w:val="336"/>
        </w:trPr>
        <w:tc>
          <w:tcPr>
            <w:tcW w:type="dxa" w:w="2256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31 a 50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3,34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2,69</w:t>
            </w:r>
          </w:p>
        </w:tc>
      </w:tr>
      <w:tr>
        <w:trPr>
          <w:trHeight w:hRule="exact" w:val="336"/>
        </w:trPr>
        <w:tc>
          <w:tcPr>
            <w:tcW w:type="dxa" w:w="2256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Acima de 50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3,98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3,18</w:t>
            </w:r>
          </w:p>
        </w:tc>
      </w:tr>
      <w:tr>
        <w:trPr>
          <w:trHeight w:hRule="exact" w:val="334"/>
        </w:trPr>
        <w:tc>
          <w:tcPr>
            <w:tcW w:type="dxa" w:w="23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30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RESIDENCIAL NORMAL </w:t>
            </w:r>
          </w:p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01 a 10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20,47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16,41</w:t>
            </w:r>
          </w:p>
        </w:tc>
      </w:tr>
      <w:tr>
        <w:trPr>
          <w:trHeight w:hRule="exact" w:val="336"/>
        </w:trPr>
        <w:tc>
          <w:tcPr>
            <w:tcW w:type="dxa" w:w="225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 a 20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2,86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2,26</w:t>
            </w:r>
          </w:p>
        </w:tc>
      </w:tr>
      <w:tr>
        <w:trPr>
          <w:trHeight w:hRule="exact" w:val="334"/>
        </w:trPr>
        <w:tc>
          <w:tcPr>
            <w:tcW w:type="dxa" w:w="225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21 a 50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4,40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3,50</w:t>
            </w:r>
          </w:p>
        </w:tc>
      </w:tr>
      <w:tr>
        <w:trPr>
          <w:trHeight w:hRule="exact" w:val="336"/>
        </w:trPr>
        <w:tc>
          <w:tcPr>
            <w:tcW w:type="dxa" w:w="225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Acima de 50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5,25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4,18</w:t>
            </w:r>
          </w:p>
        </w:tc>
      </w:tr>
      <w:tr>
        <w:trPr>
          <w:trHeight w:hRule="exact" w:val="334"/>
        </w:trPr>
        <w:tc>
          <w:tcPr>
            <w:tcW w:type="dxa" w:w="23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30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COMERCIAL NORMAL</w:t>
            </w:r>
          </w:p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01 a 10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41,12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32,88</w:t>
            </w:r>
          </w:p>
        </w:tc>
      </w:tr>
      <w:tr>
        <w:trPr>
          <w:trHeight w:hRule="exact" w:val="334"/>
        </w:trPr>
        <w:tc>
          <w:tcPr>
            <w:tcW w:type="dxa" w:w="225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 a 20</w:t>
            </w:r>
          </w:p>
        </w:tc>
        <w:tc>
          <w:tcPr>
            <w:tcW w:type="dxa" w:w="2100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4,86</w:t>
            </w:r>
          </w:p>
        </w:tc>
        <w:tc>
          <w:tcPr>
            <w:tcW w:type="dxa" w:w="1920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3,86</w:t>
            </w:r>
          </w:p>
        </w:tc>
      </w:tr>
      <w:tr>
        <w:trPr>
          <w:trHeight w:hRule="exact" w:val="336"/>
        </w:trPr>
        <w:tc>
          <w:tcPr>
            <w:tcW w:type="dxa" w:w="225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21 a 50</w:t>
            </w:r>
          </w:p>
        </w:tc>
        <w:tc>
          <w:tcPr>
            <w:tcW w:type="dxa" w:w="2100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8,12</w:t>
            </w:r>
          </w:p>
        </w:tc>
        <w:tc>
          <w:tcPr>
            <w:tcW w:type="dxa" w:w="1920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6,49</w:t>
            </w:r>
          </w:p>
        </w:tc>
      </w:tr>
      <w:tr>
        <w:trPr>
          <w:trHeight w:hRule="exact" w:val="334"/>
        </w:trPr>
        <w:tc>
          <w:tcPr>
            <w:tcW w:type="dxa" w:w="225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Acima de 50</w:t>
            </w:r>
          </w:p>
        </w:tc>
        <w:tc>
          <w:tcPr>
            <w:tcW w:type="dxa" w:w="2100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10,28</w:t>
            </w:r>
          </w:p>
        </w:tc>
        <w:tc>
          <w:tcPr>
            <w:tcW w:type="dxa" w:w="1920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8,19</w:t>
            </w:r>
          </w:p>
        </w:tc>
      </w:tr>
      <w:tr>
        <w:trPr>
          <w:trHeight w:hRule="exact" w:val="336"/>
        </w:trPr>
        <w:tc>
          <w:tcPr>
            <w:tcW w:type="dxa" w:w="2380"/>
            <w:vMerge w:val="restart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30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INDUSTRIAL</w:t>
            </w:r>
          </w:p>
        </w:tc>
        <w:tc>
          <w:tcPr>
            <w:tcW w:type="dxa" w:w="171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01 a 10</w:t>
            </w:r>
          </w:p>
        </w:tc>
        <w:tc>
          <w:tcPr>
            <w:tcW w:type="dxa" w:w="2100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41,12</w:t>
            </w:r>
          </w:p>
        </w:tc>
        <w:tc>
          <w:tcPr>
            <w:tcW w:type="dxa" w:w="1920"/>
            <w:tcBorders>
              <w:start w:sz="7.200000000000273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32,88</w:t>
            </w:r>
          </w:p>
        </w:tc>
      </w:tr>
      <w:tr>
        <w:trPr>
          <w:trHeight w:hRule="exact" w:val="334"/>
        </w:trPr>
        <w:tc>
          <w:tcPr>
            <w:tcW w:type="dxa" w:w="2256"/>
            <w:vMerge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 a 20</w:t>
            </w:r>
          </w:p>
        </w:tc>
        <w:tc>
          <w:tcPr>
            <w:tcW w:type="dxa" w:w="2100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4,86</w:t>
            </w:r>
          </w:p>
        </w:tc>
        <w:tc>
          <w:tcPr>
            <w:tcW w:type="dxa" w:w="1920"/>
            <w:tcBorders>
              <w:start w:sz="7.200000000000273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3,86</w:t>
            </w:r>
          </w:p>
        </w:tc>
      </w:tr>
      <w:tr>
        <w:trPr>
          <w:trHeight w:hRule="exact" w:val="336"/>
        </w:trPr>
        <w:tc>
          <w:tcPr>
            <w:tcW w:type="dxa" w:w="2256"/>
            <w:vMerge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21 a 50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8,12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6,49</w:t>
            </w:r>
          </w:p>
        </w:tc>
      </w:tr>
      <w:tr>
        <w:trPr>
          <w:trHeight w:hRule="exact" w:val="336"/>
        </w:trPr>
        <w:tc>
          <w:tcPr>
            <w:tcW w:type="dxa" w:w="2256"/>
            <w:vMerge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Acima de 50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10,28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8,19</w:t>
            </w:r>
          </w:p>
        </w:tc>
      </w:tr>
      <w:tr>
        <w:trPr>
          <w:trHeight w:hRule="exact" w:val="334"/>
        </w:trPr>
        <w:tc>
          <w:tcPr>
            <w:tcW w:type="dxa" w:w="2380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PÚBLICA SEM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CONTRATO</w:t>
            </w:r>
          </w:p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01 a 10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41,12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32,88</w:t>
            </w:r>
          </w:p>
        </w:tc>
      </w:tr>
      <w:tr>
        <w:trPr>
          <w:trHeight w:hRule="exact" w:val="336"/>
        </w:trPr>
        <w:tc>
          <w:tcPr>
            <w:tcW w:type="dxa" w:w="225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11 a 20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4,86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3,86</w:t>
            </w:r>
          </w:p>
        </w:tc>
      </w:tr>
      <w:tr>
        <w:trPr>
          <w:trHeight w:hRule="exact" w:val="334"/>
        </w:trPr>
        <w:tc>
          <w:tcPr>
            <w:tcW w:type="dxa" w:w="225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21 a 50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8,12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6,49</w:t>
            </w:r>
          </w:p>
        </w:tc>
      </w:tr>
      <w:tr>
        <w:trPr>
          <w:trHeight w:hRule="exact" w:val="336"/>
        </w:trPr>
        <w:tc>
          <w:tcPr>
            <w:tcW w:type="dxa" w:w="2256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7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Acima de 50</w:t>
            </w:r>
          </w:p>
        </w:tc>
        <w:tc>
          <w:tcPr>
            <w:tcW w:type="dxa" w:w="210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10,28</w:t>
            </w:r>
          </w:p>
        </w:tc>
        <w:tc>
          <w:tcPr>
            <w:tcW w:type="dxa" w:w="1920"/>
            <w:tcBorders>
              <w:start w:sz="7.200000000000273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8,19</w:t>
            </w:r>
          </w:p>
        </w:tc>
      </w:tr>
    </w:tbl>
    <w:p>
      <w:pPr>
        <w:autoSpaceDN w:val="0"/>
        <w:autoSpaceDE w:val="0"/>
        <w:widowControl/>
        <w:spacing w:line="3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522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60" w:after="0"/>
              <w:ind w:left="7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Resolução ARES-PCJ nº 142/2016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60" w:after="0"/>
              <w:ind w:left="0" w:right="67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10007600</wp:posOffset>
            </wp:positionV>
            <wp:extent cx="755777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271780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98" w:lineRule="exact" w:before="430" w:after="0"/>
        <w:ind w:left="2304" w:right="216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2 – VALORES DA PRESTAÇÃO DOS SERVIÇOS DE ÁGUA E ESGOTO </w:t>
      </w:r>
      <w:r>
        <w:rPr>
          <w:rFonts w:ascii="CIDFont+F2" w:hAnsi="CIDFont+F2" w:eastAsia="CIDFont+F2"/>
          <w:b/>
          <w:i w:val="0"/>
          <w:color w:val="000000"/>
          <w:sz w:val="22"/>
        </w:rPr>
        <w:t>SERVIÇOS DE ÁGUA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3009"/>
        <w:gridCol w:w="3009"/>
        <w:gridCol w:w="3009"/>
      </w:tblGrid>
      <w:tr>
        <w:trPr>
          <w:trHeight w:hRule="exact" w:val="336"/>
        </w:trPr>
        <w:tc>
          <w:tcPr>
            <w:tcW w:type="dxa" w:w="9154"/>
            <w:gridSpan w:val="3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362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8792"/>
            <w:gridSpan w:val="2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Instalação de cavalete múltiplo com hidrômetro: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Cavalete de diâmetro de 32 mm somente para hidrômetros de 1,5m³/h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91,30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Cavalete de diâmetro de 32 mm somente para hidrômetros de 3m³/h</w:t>
            </w:r>
          </w:p>
        </w:tc>
        <w:tc>
          <w:tcPr>
            <w:tcW w:type="dxa" w:w="1716"/>
            <w:tcBorders>
              <w:start w:sz="4.0" w:val="single" w:color="#000000"/>
              <w:top w:sz="3.2000000000000455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92,53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8792"/>
            <w:gridSpan w:val="2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Inclusão de ligação em cavalete múltiplo e instalação de hidrômetro</w:t>
            </w:r>
          </w:p>
        </w:tc>
      </w:tr>
      <w:tr>
        <w:trPr>
          <w:trHeight w:hRule="exact" w:val="312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Hidrômetro com capacidade até 1,5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97,39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Hidrômetro com capacidade até 3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99,83 </w:t>
            </w:r>
          </w:p>
        </w:tc>
      </w:tr>
      <w:tr>
        <w:trPr>
          <w:trHeight w:hRule="exact" w:val="548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Aferição de Hidrômetro com ou sem constatação de variação metrológica,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independente da capacidade - a cada 3 anos (a pedido do usuário)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48"/>
        </w:trPr>
        <w:tc>
          <w:tcPr>
            <w:tcW w:type="dxa" w:w="362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8792"/>
            <w:gridSpan w:val="2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Aferição de Hidrômetro sem constatação de variação metrológica, conforme laudo (a pedido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do usuário)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1,5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  9,74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3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  8,53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5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15,83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7 m³/h</w:t>
            </w:r>
          </w:p>
        </w:tc>
        <w:tc>
          <w:tcPr>
            <w:tcW w:type="dxa" w:w="1716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18,26 </w:t>
            </w:r>
          </w:p>
        </w:tc>
      </w:tr>
      <w:tr>
        <w:trPr>
          <w:trHeight w:hRule="exact" w:val="314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10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10,95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20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13,39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30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48,70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300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56,00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1100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181,39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1800 m³/h</w:t>
            </w:r>
          </w:p>
        </w:tc>
        <w:tc>
          <w:tcPr>
            <w:tcW w:type="dxa" w:w="1716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131,48 </w:t>
            </w:r>
          </w:p>
        </w:tc>
      </w:tr>
      <w:tr>
        <w:trPr>
          <w:trHeight w:hRule="exact" w:val="314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4000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164,35 </w:t>
            </w:r>
          </w:p>
        </w:tc>
      </w:tr>
      <w:tr>
        <w:trPr>
          <w:trHeight w:hRule="exact" w:val="328"/>
        </w:trPr>
        <w:tc>
          <w:tcPr>
            <w:tcW w:type="dxa" w:w="362"/>
            <w:vMerge w:val="restart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8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6500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126,61 </w:t>
            </w:r>
          </w:p>
        </w:tc>
      </w:tr>
      <w:tr>
        <w:trPr>
          <w:trHeight w:hRule="exact" w:val="317"/>
        </w:trPr>
        <w:tc>
          <w:tcPr>
            <w:tcW w:type="dxa" w:w="3009"/>
            <w:vMerge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8792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Troca ou instalação de hidrômetro violado ou danificado ou por motivo de furto</w:t>
            </w:r>
          </w:p>
        </w:tc>
      </w:tr>
      <w:tr>
        <w:trPr>
          <w:trHeight w:hRule="exact" w:val="319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1,5 m³/h</w:t>
            </w:r>
          </w:p>
        </w:tc>
        <w:tc>
          <w:tcPr>
            <w:tcW w:type="dxa" w:w="1716"/>
            <w:tcBorders>
              <w:start w:sz="4.0" w:val="single" w:color="#000000"/>
              <w:top w:sz="8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52,35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3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53,57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5 m³/h</w:t>
            </w:r>
          </w:p>
        </w:tc>
        <w:tc>
          <w:tcPr>
            <w:tcW w:type="dxa" w:w="1716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57,22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7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196,01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10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204,52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20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385,92 </w:t>
            </w:r>
          </w:p>
        </w:tc>
      </w:tr>
      <w:tr>
        <w:trPr>
          <w:trHeight w:hRule="exact" w:val="312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30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404,18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300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1.865,09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1100 m³/h</w:t>
            </w:r>
          </w:p>
        </w:tc>
        <w:tc>
          <w:tcPr>
            <w:tcW w:type="dxa" w:w="1716"/>
            <w:tcBorders>
              <w:start w:sz="4.0" w:val="single" w:color="#000000"/>
              <w:top w:sz="3.199999999999818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2.046,48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1800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2.079,36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4000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3.550,00 </w:t>
            </w:r>
          </w:p>
        </w:tc>
      </w:tr>
      <w:tr>
        <w:trPr>
          <w:trHeight w:hRule="exact" w:val="328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capacidade de 6500 m³/h</w:t>
            </w:r>
          </w:p>
        </w:tc>
        <w:tc>
          <w:tcPr>
            <w:tcW w:type="dxa" w:w="171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5.755,97 </w:t>
            </w:r>
          </w:p>
        </w:tc>
      </w:tr>
    </w:tbl>
    <w:p>
      <w:pPr>
        <w:autoSpaceDN w:val="0"/>
        <w:autoSpaceDE w:val="0"/>
        <w:widowControl/>
        <w:spacing w:line="9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522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60" w:after="0"/>
              <w:ind w:left="7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Resolução ARES-PCJ nº 142/2016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60" w:after="0"/>
              <w:ind w:left="0" w:right="67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10007600</wp:posOffset>
            </wp:positionV>
            <wp:extent cx="755777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271780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006" w:val="left"/>
        </w:tabs>
        <w:autoSpaceDE w:val="0"/>
        <w:widowControl/>
        <w:spacing w:line="596" w:lineRule="exact" w:before="164" w:after="0"/>
        <w:ind w:left="1628" w:right="144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2 – VALORES DA PRESTAÇÃO DOS SERVIÇOS DE ÁGUA E ESGOTO (continuação) </w:t>
      </w:r>
      <w:r>
        <w:tab/>
      </w:r>
      <w:r>
        <w:rPr>
          <w:rFonts w:ascii="CIDFont+F2" w:hAnsi="CIDFont+F2" w:eastAsia="CIDFont+F2"/>
          <w:b/>
          <w:i w:val="0"/>
          <w:color w:val="000000"/>
          <w:sz w:val="22"/>
        </w:rPr>
        <w:t>SERVIÇOS DE ÁGUA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3009"/>
        <w:gridCol w:w="3009"/>
        <w:gridCol w:w="3009"/>
      </w:tblGrid>
      <w:tr>
        <w:trPr>
          <w:trHeight w:hRule="exact" w:val="336"/>
        </w:trPr>
        <w:tc>
          <w:tcPr>
            <w:tcW w:type="dxa" w:w="8996"/>
            <w:gridSpan w:val="3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362"/>
            <w:tcBorders>
              <w:start w:sz="8.0" w:val="single" w:color="#000000"/>
              <w:top w:sz="7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6946"/>
            <w:tcBorders>
              <w:start w:sz="4.0" w:val="single" w:color="#000000"/>
              <w:top w:sz="7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Troca de hidrômetro por desgaste normal, qualquer idade</w:t>
            </w:r>
          </w:p>
        </w:tc>
        <w:tc>
          <w:tcPr>
            <w:tcW w:type="dxa" w:w="1688"/>
            <w:tcBorders>
              <w:start w:sz="3.200000000000273" w:val="single" w:color="#000000"/>
              <w:top w:sz="7.2000000000000455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8634"/>
            <w:gridSpan w:val="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Substituição de ligação de água diâmetro até 32 mm e hidrômetro até 3 m³/h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Sem reposição de pavimento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130,26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reposição de pavimento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256,87 </w:t>
            </w:r>
          </w:p>
        </w:tc>
      </w:tr>
      <w:tr>
        <w:trPr>
          <w:trHeight w:hRule="exact" w:val="312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8634"/>
            <w:gridSpan w:val="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Ligação de água e instalação de hidrômetro até 32 mm e hidrômetro até 3 m³/h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Sem reposição de pavimento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121,75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Com reposição de pavimento</w:t>
            </w:r>
          </w:p>
        </w:tc>
        <w:tc>
          <w:tcPr>
            <w:tcW w:type="dxa" w:w="1688"/>
            <w:tcBorders>
              <w:start w:sz="3.200000000000273" w:val="single" w:color="#000000"/>
              <w:top w:sz="3.2000000000000455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247,13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Regularização de cavalete até 32mm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41,39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Registro de cavalete (troca por motivo de quebra ou vazamento)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2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8634"/>
            <w:gridSpan w:val="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Corte do fornecimento no cavalete:</w:t>
            </w:r>
          </w:p>
        </w:tc>
      </w:tr>
      <w:tr>
        <w:trPr>
          <w:trHeight w:hRule="exact" w:val="312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Corte por inadimplemento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Violação de dispositivo de lacre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19,48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8634"/>
            <w:gridSpan w:val="2"/>
            <w:tcBorders>
              <w:start w:sz="4.0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Supressão da ligação:</w:t>
            </w:r>
          </w:p>
        </w:tc>
      </w:tr>
      <w:tr>
        <w:trPr>
          <w:trHeight w:hRule="exact" w:val="55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Por motivo de inadimplemento do pagamento das tarifas ou definitiva (por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unificação, demolição e substituição)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solicitação do usuário (imóvel vago ou desocupado)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49,91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8634"/>
            <w:gridSpan w:val="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Restabelecimento do fornecimento no cavalete (referente ao corte)</w:t>
            </w:r>
          </w:p>
        </w:tc>
      </w:tr>
      <w:tr>
        <w:trPr>
          <w:trHeight w:hRule="exact" w:val="312"/>
        </w:trPr>
        <w:tc>
          <w:tcPr>
            <w:tcW w:type="dxa" w:w="362"/>
            <w:tcBorders>
              <w:start w:sz="8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Por solicitação do usuário </w:t>
            </w:r>
          </w:p>
        </w:tc>
        <w:tc>
          <w:tcPr>
            <w:tcW w:type="dxa" w:w="1688"/>
            <w:tcBorders>
              <w:start w:sz="3.200000000000273" w:val="single" w:color="#000000"/>
              <w:top w:sz="3.199999999999818" w:val="single" w:color="#000000"/>
              <w:end w:sz="7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  9,74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imóvel vago ou por débito de tarifa</w:t>
            </w:r>
          </w:p>
        </w:tc>
        <w:tc>
          <w:tcPr>
            <w:tcW w:type="dxa" w:w="1688"/>
            <w:tcBorders>
              <w:start w:sz="3.200000000000273" w:val="single" w:color="#000000"/>
              <w:top w:sz="3.200000000000273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  9,74 </w:t>
            </w:r>
          </w:p>
        </w:tc>
      </w:tr>
      <w:tr>
        <w:trPr>
          <w:trHeight w:hRule="exact" w:val="328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14</w:t>
            </w:r>
          </w:p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Religação (referente a supressão)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48,70 </w:t>
            </w:r>
          </w:p>
        </w:tc>
      </w:tr>
      <w:tr>
        <w:trPr>
          <w:trHeight w:hRule="exact" w:val="336"/>
        </w:trPr>
        <w:tc>
          <w:tcPr>
            <w:tcW w:type="dxa" w:w="8996"/>
            <w:gridSpan w:val="3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SERVIÇOS DE ESGOTO</w:t>
            </w:r>
          </w:p>
        </w:tc>
      </w:tr>
      <w:tr>
        <w:trPr>
          <w:trHeight w:hRule="exact" w:val="554"/>
        </w:trPr>
        <w:tc>
          <w:tcPr>
            <w:tcW w:type="dxa" w:w="362"/>
            <w:tcBorders>
              <w:start w:sz="8.0" w:val="single" w:color="#000000"/>
              <w:top w:sz="8.0" w:val="single" w:color="#000000"/>
              <w:end w:sz="4.0" w:val="single" w:color="#000000"/>
              <w:bottom w:sz="4.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15</w:t>
            </w:r>
          </w:p>
        </w:tc>
        <w:tc>
          <w:tcPr>
            <w:tcW w:type="dxa" w:w="6946"/>
            <w:tcBorders>
              <w:start w:sz="4.0" w:val="single" w:color="#000000"/>
              <w:top w:sz="8.0" w:val="single" w:color="#000000"/>
              <w:end w:sz="3.200000000000273" w:val="single" w:color="#000000"/>
              <w:bottom w:sz="4.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Substituição de ligação de esgoto com reposição do pavimento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diâmetro de 150mm</w:t>
            </w:r>
          </w:p>
        </w:tc>
        <w:tc>
          <w:tcPr>
            <w:tcW w:type="dxa" w:w="1688"/>
            <w:tcBorders>
              <w:start w:sz="3.200000000000273" w:val="single" w:color="#000000"/>
              <w:top w:sz="8.0" w:val="single" w:color="#000000"/>
              <w:end w:sz="7.199999999999818" w:val="single" w:color="#000000"/>
              <w:bottom w:sz="4.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301,93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4.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Substituição de ligação de esgoto sem reposição do pavimento de 150mm</w:t>
            </w:r>
          </w:p>
        </w:tc>
        <w:tc>
          <w:tcPr>
            <w:tcW w:type="dxa" w:w="1688"/>
            <w:tcBorders>
              <w:start w:sz="3.200000000000273" w:val="single" w:color="#000000"/>
              <w:top w:sz="4.000000000000455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180,18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16</w:t>
            </w:r>
          </w:p>
        </w:tc>
        <w:tc>
          <w:tcPr>
            <w:tcW w:type="dxa" w:w="694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Desobstrução de esgoto - desentupimento de esgoto</w:t>
            </w:r>
          </w:p>
        </w:tc>
        <w:tc>
          <w:tcPr>
            <w:tcW w:type="dxa" w:w="1688"/>
            <w:tcBorders>
              <w:start w:sz="3.200000000000273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51,13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8634"/>
            <w:gridSpan w:val="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Ligação de esgoto: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Diâmetro 150mm sem reposição de pavimento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180,18 </w:t>
            </w:r>
          </w:p>
        </w:tc>
      </w:tr>
      <w:tr>
        <w:trPr>
          <w:trHeight w:hRule="exact" w:val="33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Diâmetro 150mm com reposição de pavimento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301,93 </w:t>
            </w:r>
          </w:p>
        </w:tc>
      </w:tr>
      <w:tr>
        <w:trPr>
          <w:trHeight w:hRule="exact" w:val="334"/>
        </w:trPr>
        <w:tc>
          <w:tcPr>
            <w:tcW w:type="dxa" w:w="8996"/>
            <w:gridSpan w:val="3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SERVIÇOS DE ÁGUA E ESGOTO</w:t>
            </w:r>
          </w:p>
        </w:tc>
      </w:tr>
      <w:tr>
        <w:trPr>
          <w:trHeight w:hRule="exact" w:val="318"/>
        </w:trPr>
        <w:tc>
          <w:tcPr>
            <w:tcW w:type="dxa" w:w="362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18</w:t>
            </w:r>
          </w:p>
        </w:tc>
        <w:tc>
          <w:tcPr>
            <w:tcW w:type="dxa" w:w="8634"/>
            <w:gridSpan w:val="2"/>
            <w:tcBorders>
              <w:start w:sz="4.0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Estudos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Prolongamento, duplicação ou remanejamento de rede de água e esgoto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42,61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Levantamento de profundidade de ligação ou ramal</w:t>
            </w:r>
          </w:p>
        </w:tc>
        <w:tc>
          <w:tcPr>
            <w:tcW w:type="dxa" w:w="1688"/>
            <w:tcBorders>
              <w:start w:sz="3.200000000000273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42,61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Dimensionamento de ramal predial (água e esgoto)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36,52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8634"/>
            <w:gridSpan w:val="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Inspeção em pedido de ligação</w:t>
            </w:r>
          </w:p>
        </w:tc>
      </w:tr>
      <w:tr>
        <w:trPr>
          <w:trHeight w:hRule="exact" w:val="312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Primeira inspeção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Segunda e demais inspeções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  9,74 </w:t>
            </w:r>
          </w:p>
        </w:tc>
      </w:tr>
      <w:tr>
        <w:trPr>
          <w:trHeight w:hRule="exact" w:val="544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20</w:t>
            </w:r>
          </w:p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Substituição ou modificação do ramal predial e restauração de muros 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passeios, causados pelo prestador de serviço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522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60" w:after="0"/>
              <w:ind w:left="7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Resolução ARES-PCJ nº 142/2016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60" w:after="0"/>
              <w:ind w:left="0" w:right="67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10007600</wp:posOffset>
            </wp:positionV>
            <wp:extent cx="755777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271780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040" w:val="left"/>
        </w:tabs>
        <w:autoSpaceDE w:val="0"/>
        <w:widowControl/>
        <w:spacing w:line="598" w:lineRule="exact" w:before="454" w:after="0"/>
        <w:ind w:left="1628" w:right="144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2 – VALORES DA PRESTAÇÃO DOS SERVIÇOS DE ÁGUA E ESGOTO (continuação) </w:t>
      </w:r>
      <w:r>
        <w:tab/>
      </w:r>
      <w:r>
        <w:rPr>
          <w:rFonts w:ascii="CIDFont+F2" w:hAnsi="CIDFont+F2" w:eastAsia="CIDFont+F2"/>
          <w:b/>
          <w:i w:val="0"/>
          <w:color w:val="000000"/>
          <w:sz w:val="22"/>
        </w:rPr>
        <w:t>OUTROS SERVIÇOS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3009"/>
        <w:gridCol w:w="3009"/>
        <w:gridCol w:w="3009"/>
      </w:tblGrid>
      <w:tr>
        <w:trPr>
          <w:trHeight w:hRule="exact" w:val="336"/>
        </w:trPr>
        <w:tc>
          <w:tcPr>
            <w:tcW w:type="dxa" w:w="8996"/>
            <w:gridSpan w:val="3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2"/>
        </w:trPr>
        <w:tc>
          <w:tcPr>
            <w:tcW w:type="dxa" w:w="362"/>
            <w:tcBorders>
              <w:start w:sz="8.0" w:val="single" w:color="#000000"/>
              <w:top w:sz="8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4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21</w:t>
            </w:r>
          </w:p>
        </w:tc>
        <w:tc>
          <w:tcPr>
            <w:tcW w:type="dxa" w:w="6946"/>
            <w:tcBorders>
              <w:start w:sz="4.0" w:val="single" w:color="#000000"/>
              <w:top w:sz="8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Restabelecimento (referente ao corte) e/ou ligações (referente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 xml:space="preserve">supressão), por suspensão indevida do abastecimento de água ou a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interrupção da coleta de esgoto</w:t>
            </w:r>
          </w:p>
        </w:tc>
        <w:tc>
          <w:tcPr>
            <w:tcW w:type="dxa" w:w="1688"/>
            <w:tcBorders>
              <w:start w:sz="3.200000000000273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22</w:t>
            </w:r>
          </w:p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Fornecimento especial de água através de carros - tanque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R$         80,02/m³ </w:t>
            </w:r>
          </w:p>
        </w:tc>
      </w:tr>
      <w:tr>
        <w:trPr>
          <w:trHeight w:hRule="exact" w:val="308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8634"/>
            <w:gridSpan w:val="2"/>
            <w:tcBorders>
              <w:start w:sz="4.0" w:val="single" w:color="#000000"/>
              <w:top w:sz="4.0" w:val="single" w:color="#000000"/>
              <w:end w:sz="7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Emissão de segunda via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Por culpa do prestador de serviço</w:t>
            </w:r>
          </w:p>
        </w:tc>
        <w:tc>
          <w:tcPr>
            <w:tcW w:type="dxa" w:w="1688"/>
            <w:tcBorders>
              <w:start w:sz="3.200000000000273" w:val="single" w:color="#000000"/>
              <w:top w:sz="3.2000000000000455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Solicitação e envio via correio ou email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  1,74 </w:t>
            </w:r>
          </w:p>
        </w:tc>
      </w:tr>
      <w:tr>
        <w:trPr>
          <w:trHeight w:hRule="exact" w:val="31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24</w:t>
            </w:r>
          </w:p>
        </w:tc>
        <w:tc>
          <w:tcPr>
            <w:tcW w:type="dxa" w:w="8634"/>
            <w:gridSpan w:val="2"/>
            <w:tcBorders>
              <w:start w:sz="4.0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2"/>
              </w:rPr>
              <w:t>Atestado/Certidões negativas</w:t>
            </w:r>
          </w:p>
        </w:tc>
      </w:tr>
      <w:tr>
        <w:trPr>
          <w:trHeight w:hRule="exact" w:val="55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Existência de projetos de redes de água e/ou esgoto em vias e/ou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logradouros públicos.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  9,74 </w:t>
            </w:r>
          </w:p>
        </w:tc>
      </w:tr>
      <w:tr>
        <w:trPr>
          <w:trHeight w:hRule="exact" w:val="546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Existência de projeto de extensão ou reforço de rede de água e esgoto para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projetos de loteamentos e condomínios.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23,13 </w:t>
            </w:r>
          </w:p>
        </w:tc>
      </w:tr>
      <w:tr>
        <w:trPr>
          <w:trHeight w:hRule="exact" w:val="546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Existência de rede de água e esgoto em vias, logradouros públicos,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loteamentos, condomínios e empreendimentos imobiliários.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  3,65 </w:t>
            </w:r>
          </w:p>
        </w:tc>
      </w:tr>
      <w:tr>
        <w:trPr>
          <w:trHeight w:hRule="exact" w:val="312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Existência de conexão à rede de água e/ou esgoto no imóvel.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23,13 </w:t>
            </w:r>
          </w:p>
        </w:tc>
      </w:tr>
      <w:tr>
        <w:trPr>
          <w:trHeight w:hRule="exact" w:val="816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Recibo de quitação ou extensão de existência de débitos pendentes,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solicitado pelo usuário, que também poderá ser enviado por meio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eletrônico, desde que autorizado pelo usuário.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4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R$            10,95 </w:t>
            </w:r>
          </w:p>
        </w:tc>
      </w:tr>
      <w:tr>
        <w:trPr>
          <w:trHeight w:hRule="exact" w:val="820"/>
        </w:trPr>
        <w:tc>
          <w:tcPr>
            <w:tcW w:type="dxa" w:w="362"/>
            <w:tcBorders>
              <w:start w:sz="8.0" w:val="single" w:color="#000000"/>
              <w:top w:sz="4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46"/>
            <w:tcBorders>
              <w:start w:sz="4.0" w:val="single" w:color="#000000"/>
              <w:top w:sz="4.0" w:val="single" w:color="#000000"/>
              <w:end w:sz="3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Recibo de quitação ou atestado de existência de débitos pendentes, que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também poderá ser enviado por meio eletrônico desde que autorizado pelo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>usuário.</w:t>
            </w:r>
          </w:p>
        </w:tc>
        <w:tc>
          <w:tcPr>
            <w:tcW w:type="dxa" w:w="1688"/>
            <w:tcBorders>
              <w:start w:sz="3.200000000000273" w:val="single" w:color="#000000"/>
              <w:top w:sz="4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2" w:lineRule="exact" w:before="4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autoSpaceDE w:val="0"/>
        <w:widowControl/>
        <w:spacing w:line="57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522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60" w:after="0"/>
              <w:ind w:left="7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Resolução ARES-PCJ nº 142/2016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60" w:after="0"/>
              <w:ind w:left="0" w:right="67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10007600</wp:posOffset>
            </wp:positionV>
            <wp:extent cx="7557770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1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