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181610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26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8"/>
        </w:rPr>
        <w:t xml:space="preserve">RESOLUÇÃO ARES-PCJ Nº 143, DE 30 DE JUNHO DE 2016 </w:t>
      </w:r>
    </w:p>
    <w:p>
      <w:pPr>
        <w:autoSpaceDN w:val="0"/>
        <w:autoSpaceDE w:val="0"/>
        <w:widowControl/>
        <w:spacing w:line="868" w:lineRule="exact" w:before="0" w:after="0"/>
        <w:ind w:left="0" w:right="1360" w:firstLine="0"/>
        <w:jc w:val="right"/>
      </w:pPr>
      <w:r>
        <w:rPr>
          <w:rFonts w:ascii="CIDFont+F4" w:hAnsi="CIDFont+F4" w:eastAsia="CIDFont+F4"/>
          <w:b w:val="0"/>
          <w:i/>
          <w:color w:val="000000"/>
          <w:sz w:val="24"/>
        </w:rPr>
        <w:t xml:space="preserve">Dispõe sobre os valores do Preço de Referência </w:t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(PR) e dos demais serviços complementares a </w:t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serem executados pela empresa Águas do Mirante </w:t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S/A no Município de Piracicaba e dá outras </w:t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>ou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 ARES-</w:t>
      </w:r>
      <w:r>
        <w:rPr>
          <w:rFonts w:ascii="CIDFont+F3" w:hAnsi="CIDFont+F3" w:eastAsia="CIDFont+F3"/>
          <w:b/>
          <w:i w:val="0"/>
          <w:color w:val="000000"/>
          <w:sz w:val="24"/>
        </w:rPr>
        <w:t>PCJ)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, no uso de suas atribuições que lhe conferem a Cláusula 32ª, inciso IV, do Protocolo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Intenções da ARES-PCJ, convertido em Contrato de Consórcio Público, e o Artigo 30, inciso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IV, do Estatuto Social da ARES-PCJ e; </w:t>
      </w:r>
    </w:p>
    <w:p>
      <w:pPr>
        <w:autoSpaceDN w:val="0"/>
        <w:autoSpaceDE w:val="0"/>
        <w:widowControl/>
        <w:spacing w:line="600" w:lineRule="exact" w:before="280" w:after="0"/>
        <w:ind w:left="1418" w:right="0" w:firstLine="0"/>
        <w:jc w:val="left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Município de Piracicaba ratificou o Protocolo de Intenções e delegou o exercício das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>atividades de regulação e fiscalização dos serviços públicos de saneamento básico à ARES-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PCJ - Agência Reguladora dos Serviços de Saneamento das Bacias dos Rios Piracicaba,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Capivari e Jundiaí;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o SEMAE - Serviço Municipal de Água e Esgoto de Piracicaba, através do Processo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Administrativo nº 1.687/2011 e da Concorrência Pública nº 01/2011, firmou o Contrato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Parceria Público-Privada nº 48/2012 com a empresa Águas do Mirante S/A, em 11 de junho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de 2012, na modalidade administrativa, para concessão do serviço público de esgotamento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sanitário, com ampliação e modernização do sistema de esgotamento sanitário do Município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de Piracicaba.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a Cláusula 9.10, do Contrato de Parceria Público-Privada n° 048/2012, prevê que 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reajuste anual do PR - Preço de Referência é condição básica para a manutenção do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equilíbrio econômico-financeiro.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a Agência Reguladora PCJ, através do Parecer Consolidado nº 10/2016, concluiu que 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índice de reajuste do PR - Preço de Referência é de 15,07% (quinze inteiros e sete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centésimos por cento), sobre o valor praticado em dezembro de 2015 pela empresa Águas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do Mirante S/A, passando dos atuais R$ 1,88/m³ (um real e oitenta e oito centavos por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metro cúbico), para R$ 2,16/m³ (dois reais e dezesseis centavos por metro cúbico), passando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 vigorar retroativamente partir de janeiro de 2015, conforme cláusulas contratuais; </w:t>
      </w:r>
    </w:p>
    <w:p>
      <w:pPr>
        <w:autoSpaceDN w:val="0"/>
        <w:tabs>
          <w:tab w:pos="10348" w:val="left"/>
        </w:tabs>
        <w:autoSpaceDE w:val="0"/>
        <w:widowControl/>
        <w:spacing w:line="498" w:lineRule="exact" w:before="0" w:after="0"/>
        <w:ind w:left="1418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20"/>
        </w:rPr>
        <w:t xml:space="preserve">RESOLUÇÃO ARES-PCJ Nº 143 – 30/06/2016 </w:t>
      </w:r>
      <w:r>
        <w:tab/>
      </w:r>
      <w:r>
        <w:rPr>
          <w:rFonts w:ascii="CIDFont+F2" w:hAnsi="CIDFont+F2" w:eastAsia="CIDFont+F2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51420" cy="6845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181610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186" w:lineRule="exact" w:before="8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o Parecer Consolidado nº 10/2016, concluiu, também, pela necessidade de reajustar em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15,07% (quinze inteiros e sete centésimos por cento), os valores dos Demais Serviços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Complementares, conforme Cláusula 9.10, do Contrato de PPP nº 048/2012.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nos termos do acordo avençado entre as Parceiras, encaminhado através do Ofício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051/SEMAE/GP/PJ/DPSS, de 06 de maio de 2016, e protocolado na Agência Reguladora PCJ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sob nº de protocolo 000867, cujo anexo versa sobre acordo inerente exclusivamente ao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reajuste anual do PR - Preço de Referência do Contrato de PPP nº 48/2012;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 por não existir óbices legais no termo avençado entre as Parceiras, fica mantido o valor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do PR – Preço de Referência, o qual, segundo o acordo, será corrigido cumulativamente 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partir de janeiro de 2015 até dezembro de 2016, sem a incidência de juros e em detrimento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ao equilíbrio contratual de forma excepcional.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Que, em face do cumprimento das etapas do processo de reajuste do Preço de Referência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(PR), a Diretoria Executiva da ARES-PCJ, reunida em 30 de junho de 2016; </w:t>
      </w:r>
    </w:p>
    <w:p>
      <w:pPr>
        <w:autoSpaceDN w:val="0"/>
        <w:autoSpaceDE w:val="0"/>
        <w:widowControl/>
        <w:spacing w:line="600" w:lineRule="exact" w:before="278" w:after="0"/>
        <w:ind w:left="1418" w:right="0" w:firstLine="0"/>
        <w:jc w:val="left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1º - Homologar o acordo sobre a não majoração do valor do Preço de Referência (PR) do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Contrato de Parceria Público-Privada nº 48/2012, firmado entre o SEMAE Piracicaba e 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empresa Águas do Mirante S/A, na modalidade administrativa, para concessão do serviço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público de esgotamento sanitário, com ampliação e modernização do sistema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esgotamento sanitário do Município de Piracicaba.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2º - Reajustar em 15,07% (quinze inteiros e sete centésimos por cento) os atuais valores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dos Demais Serviços Complementares e das Multas, previstos no Contrato de Parceria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Público-Privada nº 48/2012, conforme a variação do Preço de Referência (PR).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3º - Havendo disponibilidade financeira do SEMAE Piracicaba, o valor do PR - Preço de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Referência será atualizado e custeado pela Parceira Pública parcial ou totalmente, conforme </w:t>
      </w: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preconiza a cláusula (II) da avença. </w:t>
      </w:r>
    </w:p>
    <w:p>
      <w:pPr>
        <w:autoSpaceDN w:val="0"/>
        <w:autoSpaceDE w:val="0"/>
        <w:widowControl/>
        <w:spacing w:line="600" w:lineRule="exact" w:before="0" w:after="0"/>
        <w:ind w:left="1418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DALTO FAVERO BROCHI </w:t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48" w:val="left"/>
        </w:tabs>
        <w:autoSpaceDE w:val="0"/>
        <w:widowControl/>
        <w:spacing w:line="498" w:lineRule="exact" w:before="828" w:after="0"/>
        <w:ind w:left="1418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20"/>
        </w:rPr>
        <w:t xml:space="preserve">RESOLUÇÃO ARES-PCJ Nº 143 – 30/06/2016 </w:t>
      </w:r>
      <w:r>
        <w:tab/>
      </w:r>
      <w:r>
        <w:rPr>
          <w:rFonts w:ascii="CIDFont+F2" w:hAnsi="CIDFont+F2" w:eastAsia="CIDFont+F2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51420" cy="6845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181610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48" w:val="left"/>
          <w:tab w:pos="5536" w:val="left"/>
          <w:tab w:pos="9816" w:val="left"/>
        </w:tabs>
        <w:autoSpaceDE w:val="0"/>
        <w:widowControl/>
        <w:spacing w:line="492" w:lineRule="exact" w:before="470" w:after="0"/>
        <w:ind w:left="2710" w:right="1296" w:firstLine="0"/>
        <w:jc w:val="left"/>
      </w:pPr>
      <w:r>
        <w:rPr>
          <w:rFonts w:ascii="CIDFont+F3" w:hAnsi="CIDFont+F3" w:eastAsia="CIDFont+F3"/>
          <w:b/>
          <w:i w:val="0"/>
          <w:color w:val="000000"/>
          <w:sz w:val="28"/>
        </w:rPr>
        <w:t xml:space="preserve">RESOLUÇÃO ARES-PCJ Nº 143, DE 30 DE JUNHO DE 2016 </w:t>
      </w:r>
      <w:r>
        <w:br/>
      </w:r>
      <w:r>
        <w:tab/>
      </w:r>
      <w:r>
        <w:tab/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ANEXO I </w:t>
      </w:r>
      <w:r>
        <w:br/>
      </w:r>
      <w:r>
        <w:tab/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Tabela 1 - Valores dos Serviços Complementares </w:t>
      </w:r>
      <w:r>
        <w:br/>
      </w:r>
      <w:r>
        <w:tab/>
      </w:r>
      <w:r>
        <w:tab/>
      </w:r>
      <w:r>
        <w:tab/>
      </w:r>
      <w:r>
        <w:rPr>
          <w:rFonts w:ascii="CIDFont+F3" w:hAnsi="CIDFont+F3" w:eastAsia="CIDFont+F3"/>
          <w:b/>
          <w:i w:val="0"/>
          <w:color w:val="000000"/>
          <w:sz w:val="24"/>
        </w:rPr>
        <w:t xml:space="preserve">VALOR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009"/>
        <w:gridCol w:w="3009"/>
        <w:gridCol w:w="3009"/>
      </w:tblGrid>
      <w:tr>
        <w:trPr>
          <w:trHeight w:hRule="exact" w:val="606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24"/>
              </w:rPr>
              <w:t>ITEM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86"/>
        </w:trPr>
        <w:tc>
          <w:tcPr>
            <w:tcW w:type="dxa" w:w="6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53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Relocação ou substituição de ligações de 4” a pedido do usuário (R$/unid.) </w:t>
            </w:r>
          </w:p>
        </w:tc>
        <w:tc>
          <w:tcPr>
            <w:tcW w:type="dxa" w:w="113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258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284,19 </w:t>
            </w:r>
          </w:p>
        </w:tc>
      </w:tr>
      <w:tr>
        <w:trPr>
          <w:trHeight w:hRule="exact" w:val="586"/>
        </w:trPr>
        <w:tc>
          <w:tcPr>
            <w:tcW w:type="dxa" w:w="6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5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Relocação ou substituição de ligações de 6” a pedido do usuário (R$/unid.) </w:t>
            </w:r>
          </w:p>
        </w:tc>
        <w:tc>
          <w:tcPr>
            <w:tcW w:type="dxa" w:w="113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258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407,73 </w:t>
            </w:r>
          </w:p>
        </w:tc>
      </w:tr>
      <w:tr>
        <w:trPr>
          <w:trHeight w:hRule="exact" w:val="605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Atendimento a extravasamento de esgotos em ramal, por culpa do usuário </w:t>
            </w: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(R$/unid.)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38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76,68 </w:t>
            </w:r>
          </w:p>
        </w:tc>
      </w:tr>
      <w:tr>
        <w:trPr>
          <w:trHeight w:hRule="exact" w:val="605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6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Atendimento a solicitação de limpeza de fossa séptica (R$/m³) + </w:t>
            </w: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Custo do caminhão limpa fossa caso usado 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44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3,50 </w:t>
            </w: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</w:tr>
      <w:tr>
        <w:trPr>
          <w:trHeight w:hRule="exact" w:val="590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6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Recebimento de lodo de caminhão limpa fossa em ETE (R$/m³) </w:t>
            </w:r>
          </w:p>
        </w:tc>
        <w:tc>
          <w:tcPr>
            <w:tcW w:type="dxa" w:w="1136"/>
            <w:tcBorders>
              <w:start w:sz="7.200000000000273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38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</w:tr>
      <w:tr>
        <w:trPr>
          <w:trHeight w:hRule="exact" w:val="586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6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Atendimento a pedido de inspeção das instalações prediais (R$/h)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38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21,68 </w:t>
            </w:r>
          </w:p>
        </w:tc>
      </w:tr>
      <w:tr>
        <w:trPr>
          <w:trHeight w:hRule="exact" w:val="588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6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Atendimento a pedido de aferição de hidrômetro (R$/unid.)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36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44,06 </w:t>
            </w:r>
          </w:p>
        </w:tc>
      </w:tr>
      <w:tr>
        <w:trPr>
          <w:trHeight w:hRule="exact" w:val="588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6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Atendimento a pedido de troca de hidrômetro (R$/unid.)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38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58,77 </w:t>
            </w:r>
          </w:p>
        </w:tc>
      </w:tr>
      <w:tr>
        <w:trPr>
          <w:trHeight w:hRule="exact" w:val="606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Recuperação de calçada em concreto, danificada no caso de novas ligações </w:t>
            </w: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ou relocações de ligações antigas (R$/m²)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38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41,47 </w:t>
            </w:r>
          </w:p>
        </w:tc>
      </w:tr>
      <w:tr>
        <w:trPr>
          <w:trHeight w:hRule="exact" w:val="606"/>
        </w:trPr>
        <w:tc>
          <w:tcPr>
            <w:tcW w:type="dxa" w:w="65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53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Recuperação de calçada em pedra, danificada no caso de novas ligações ou </w:t>
            </w: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relocações de ligações antigas (R$/m²) </w:t>
            </w:r>
          </w:p>
        </w:tc>
        <w:tc>
          <w:tcPr>
            <w:tcW w:type="dxa" w:w="113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38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60,25 </w:t>
            </w:r>
          </w:p>
        </w:tc>
      </w:tr>
      <w:tr>
        <w:trPr>
          <w:trHeight w:hRule="exact" w:val="606"/>
        </w:trPr>
        <w:tc>
          <w:tcPr>
            <w:tcW w:type="dxa" w:w="6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5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6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Recuperação de pavimento, danificado no caso de novas ligações ou </w:t>
            </w: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relocações de ligações antigas (R$/m²)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38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69,34 </w:t>
            </w:r>
          </w:p>
        </w:tc>
      </w:tr>
    </w:tbl>
    <w:p>
      <w:pPr>
        <w:autoSpaceDN w:val="0"/>
        <w:autoSpaceDE w:val="0"/>
        <w:widowControl/>
        <w:spacing w:line="4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604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60" w:after="0"/>
              <w:ind w:left="718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0"/>
              </w:rPr>
              <w:t xml:space="preserve">RESOLUÇÃO ARES-PCJ Nº 143 – 30/06/2016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60" w:after="0"/>
              <w:ind w:left="0" w:right="706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51420" cy="6845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