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450850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RESOLUÇÃO ARES-PCJ Nº 144, DE 30 DE JUNHO DE 2016 </w:t>
      </w:r>
    </w:p>
    <w:p>
      <w:pPr>
        <w:autoSpaceDN w:val="0"/>
        <w:autoSpaceDE w:val="0"/>
        <w:widowControl/>
        <w:spacing w:line="864" w:lineRule="exact" w:before="0" w:after="0"/>
        <w:ind w:left="0" w:right="1362" w:firstLine="0"/>
        <w:jc w:val="right"/>
      </w:pPr>
      <w:r>
        <w:rPr>
          <w:rFonts w:ascii="CIDFont+F3" w:hAnsi="CIDFont+F3" w:eastAsia="CIDFont+F3"/>
          <w:b w:val="0"/>
          <w:i/>
          <w:color w:val="000000"/>
          <w:sz w:val="24"/>
        </w:rPr>
        <w:t xml:space="preserve">Dispõe sobre a inserção de Parágrafo único ao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Artigo 8º da Resolução ARES-PCJ nº 94, de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20/07/2015, que dispõe sobre a metodologia de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remuneração pelo custo do sistema de bandeiras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tarifárias incidentes sobre a energia elétrica nos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contratos de parcerias público-privadas, no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âmbito dos municípios regulados pela ARES-PCJ,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88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IDFont+F2" w:hAnsi="CIDFont+F2" w:eastAsia="CIDFont+F2"/>
          <w:b/>
          <w:i w:val="0"/>
          <w:color w:val="000000"/>
          <w:sz w:val="24"/>
        </w:rPr>
        <w:t>BACIAS DOS RIOS PIRACICABA, CAPIVARI E JUNDIAÍ (AGÊNCIA REGULADORA PCJ OU ARES-</w:t>
      </w:r>
      <w:r>
        <w:rPr>
          <w:rFonts w:ascii="CIDFont+F2" w:hAnsi="CIDFont+F2" w:eastAsia="CIDFont+F2"/>
          <w:b/>
          <w:i w:val="0"/>
          <w:color w:val="000000"/>
          <w:sz w:val="24"/>
        </w:rPr>
        <w:t>PCJ)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Intenções da ARES-PCJ convertido em Contrato de Consórcio Público, e o Artigo 28, inciso III,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600" w:lineRule="exact" w:before="278" w:after="0"/>
        <w:ind w:left="1404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88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 Lei federal nº 11.445, de 05 de janeiro de 2007 e o Decreto federal nº 7.217,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06/06/2010, que a regulamenta, estabelecem diretrizes nacionais para o saneamento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básico;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 Lei federal nº 11.445/2007, nos termos do art. 23, incisos I, IV e X, confere à entidade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reguladora competência para editar normas regulatórias de natureza técnica, econômica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social, incluindo padrões de qualidade na prestação dos serviços e no atendimento ao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público.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o Protocolo de Intenções da ARES-PCJ, convertido em Contrato de Consórcio Público,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nos termos da Cláusula 13ª, parágrafo único, incisos I, III e IV, dispõe sobre a gestão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associada e transferência de exercício das competências municipais de regulação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fiscalização dos serviços públicos de saneamento básico para a Agência Reguladora PCJ,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incluindo a competência para fixação, reajuste e revisão das tarifas, taxas ou preços públicos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relativos à prestação dos serviços públicos de saneamento básico.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 Resolução Normativa nº 547, de 16 de abril de 2013, emitida pela Agência Nacional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Energia Elétrica – ANEEL, estabelece os procedimentos para aplicação do sistema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bandeiras tarifárias sobre a energia elétrica e sua cobrança a partir de janeiro de 2015. </w:t>
      </w:r>
    </w:p>
    <w:p>
      <w:pPr>
        <w:autoSpaceDN w:val="0"/>
        <w:tabs>
          <w:tab w:pos="10334" w:val="left"/>
        </w:tabs>
        <w:autoSpaceDE w:val="0"/>
        <w:widowControl/>
        <w:spacing w:line="498" w:lineRule="exact" w:before="364" w:after="0"/>
        <w:ind w:left="1404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144 – 30/06/2016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8890</wp:posOffset>
            </wp:positionH>
            <wp:positionV relativeFrom="page">
              <wp:posOffset>10017760</wp:posOffset>
            </wp:positionV>
            <wp:extent cx="7555230" cy="67818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6781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6" w:right="0" w:bottom="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450850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264" w:after="0"/>
        <w:ind w:left="1404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 inclusão das despesas decorrentes da aplicação do sistema de bandeiras tarifárias,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sobre as tarifas e preços de referência dos serviços públicos de saneamento em regime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parcerias público-privadas, pela natureza transitória do sistema de bandeiras, implica na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incorporação permanente de uma elevação, de caráter momentâneo, motivada pela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situação hídrica nacional, devendo ser desconsideradas tais despesas com a cessação dos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motivos que as originaram. </w:t>
      </w:r>
    </w:p>
    <w:p>
      <w:pPr>
        <w:autoSpaceDN w:val="0"/>
        <w:autoSpaceDE w:val="0"/>
        <w:widowControl/>
        <w:spacing w:line="336" w:lineRule="exact" w:before="264" w:after="0"/>
        <w:ind w:left="1404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 Diretoria Executiva da Agência Reguladora PCJ emitiu, em 20 de julho de 2015,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Resolução ARES-PCJ nº 94, dispondo sobre a metodologia de remuneração pelo custo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sistema de bandeiras tarifárias incidentes sobre a energia elétrica nos contratos de parcerias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público-privadas.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em função da experiência adquirida a partir da emissão da Resolução ARES-PCJ nº 94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 necessidade de adequações em seu texto, a Diretoria Executiva da Agência Reguladora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PCJ,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reunida em 30 de junho de 2016, </w:t>
      </w:r>
    </w:p>
    <w:p>
      <w:pPr>
        <w:autoSpaceDN w:val="0"/>
        <w:autoSpaceDE w:val="0"/>
        <w:widowControl/>
        <w:spacing w:line="600" w:lineRule="exact" w:before="278" w:after="0"/>
        <w:ind w:left="1404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882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1º - Alterar a redação da Resolução ARES-PCJ nº 94, de 20 de julho de 2015, com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inserção de Parágrafo único ao Artigo 8º.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2º - Fica inserido o Parágrafo único ao Artigo 8º da Resolução ARES-PCJ nº 94,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20/07/2015, que passa a vigorar com a seguinte redação: </w:t>
      </w:r>
    </w:p>
    <w:p>
      <w:pPr>
        <w:autoSpaceDN w:val="0"/>
        <w:autoSpaceDE w:val="0"/>
        <w:widowControl/>
        <w:spacing w:line="600" w:lineRule="exact" w:before="0" w:after="0"/>
        <w:ind w:left="2256" w:right="0" w:firstLine="0"/>
        <w:jc w:val="left"/>
      </w:pPr>
      <w:r>
        <w:rPr>
          <w:rFonts w:ascii="CIDFont+F3" w:hAnsi="CIDFont+F3" w:eastAsia="CIDFont+F3"/>
          <w:b w:val="0"/>
          <w:i/>
          <w:color w:val="000000"/>
          <w:sz w:val="24"/>
        </w:rPr>
        <w:t xml:space="preserve">“Art. 8º 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600" w:lineRule="exact" w:before="0" w:after="0"/>
        <w:ind w:left="2256" w:right="0" w:firstLine="0"/>
        <w:jc w:val="left"/>
      </w:pPr>
      <w:r>
        <w:rPr>
          <w:rFonts w:ascii="CIDFont+F3" w:hAnsi="CIDFont+F3" w:eastAsia="CIDFont+F3"/>
          <w:b w:val="0"/>
          <w:i/>
          <w:color w:val="000000"/>
          <w:sz w:val="24"/>
        </w:rPr>
        <w:t xml:space="preserve">Parágrafo único. O adimplemento das bandeiras tarifárias pela Parceira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Pública à Parceira Privada será realizado de forma indenizatória, através de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ressarcimento, visando apenas o equilíbrio imediato do contrato e ressarcir a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Parceira Privada dos gastos adicionais com o acréscimo das Bandeiras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Tarifárias, pois trata-se unicamente de repasse cujo fato gerador inexiste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prestação de serviço, sendo, portanto, dispensada a emissão e apresentação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de documento fiscal. ”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(NR)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3º - Esta Resolução entrará em vigor na data de sua publicação, revogando-se 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disposições em contrário. </w:t>
      </w:r>
    </w:p>
    <w:p>
      <w:pPr>
        <w:autoSpaceDN w:val="0"/>
        <w:tabs>
          <w:tab w:pos="10334" w:val="left"/>
        </w:tabs>
        <w:autoSpaceDE w:val="0"/>
        <w:widowControl/>
        <w:spacing w:line="498" w:lineRule="exact" w:before="1330" w:after="0"/>
        <w:ind w:left="1404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144 – 30/06/2016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8890</wp:posOffset>
            </wp:positionH>
            <wp:positionV relativeFrom="page">
              <wp:posOffset>10017760</wp:posOffset>
            </wp:positionV>
            <wp:extent cx="7555230" cy="67818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6781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6" w:right="0" w:bottom="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6.0" w:type="dxa"/>
      </w:tblPr>
      <w:tblGrid>
        <w:gridCol w:w="5226"/>
        <w:gridCol w:w="5226"/>
      </w:tblGrid>
      <w:tr>
        <w:trPr>
          <w:trHeight w:hRule="exact" w:val="15014"/>
        </w:trPr>
        <w:tc>
          <w:tcPr>
            <w:tcW w:type="dxa" w:w="8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96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3263900</wp:posOffset>
                  </wp:positionH>
                  <wp:positionV relativeFrom="page">
                    <wp:posOffset>450850</wp:posOffset>
                  </wp:positionV>
                  <wp:extent cx="1051560" cy="9144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914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600" w:lineRule="exact" w:before="0" w:after="0"/>
              <w:ind w:left="0" w:right="1566" w:firstLine="0"/>
              <w:jc w:val="righ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DALTO FAVERO BROCHI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>Diretor Geral</w:t>
            </w:r>
          </w:p>
          <w:p>
            <w:pPr>
              <w:autoSpaceDN w:val="0"/>
              <w:autoSpaceDE w:val="0"/>
              <w:widowControl/>
              <w:spacing w:line="498" w:lineRule="exact" w:before="12130" w:after="0"/>
              <w:ind w:left="71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RESOLUÇÃO ARES-PCJ Nº 144 – 30/06/2016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14464" w:after="0"/>
              <w:ind w:left="0" w:right="70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8890</wp:posOffset>
            </wp:positionH>
            <wp:positionV relativeFrom="page">
              <wp:posOffset>10017760</wp:posOffset>
            </wp:positionV>
            <wp:extent cx="7555230" cy="67818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67818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356" w:right="0" w:bottom="0" w:left="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