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171, DE 10 DE JANEIRO DE 2017 </w:t>
      </w:r>
    </w:p>
    <w:p>
      <w:pPr>
        <w:autoSpaceDN w:val="0"/>
        <w:autoSpaceDE w:val="0"/>
        <w:widowControl/>
        <w:spacing w:line="245" w:lineRule="auto" w:before="934" w:after="0"/>
        <w:ind w:left="59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e altera parcialmente a redação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 e incisos da Resolução ARES-PCJ nº 137,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19/04/2016, que 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Regulamento de Prestação dos Serviços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Piracicaba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 correlatas. </w:t>
      </w:r>
    </w:p>
    <w:p>
      <w:pPr>
        <w:autoSpaceDN w:val="0"/>
        <w:autoSpaceDE w:val="0"/>
        <w:widowControl/>
        <w:spacing w:line="245" w:lineRule="auto" w:before="93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93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SEMAE - Serviço Municipal de Água e Esgoto de Piracicaba, autarquia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público e esgotamento sanitário do Município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Piracicaba, em conformidade com a Resolução ARES-PCJ nº 50, solicitou alterações em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visando adequações;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as alterações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9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171 – 10/01/2017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10 de janeiro de 2016;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93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artigo 118 da Resolução ARES-PCJ nº 137, de 19/04/2016,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70" w:right="19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>118. Qualquer vazamento de água ou acréscimo de volume que seja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medido será faturado ao USUÁRIO, de acordo com as tarifas correspondentes,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desde que tais situações não sejam de responsabilidade do PRESTADOR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SERVIÇOS, salvo disposição em contrário na legislação municipal.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(NR)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Revogar e alterar parcialmente os incisos do artigo 138 da Resolução ARES-PCJ nº 137,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19/04/de 2016, que passam a vigorar com as seguintes redações e numerações: </w:t>
      </w:r>
    </w:p>
    <w:p>
      <w:pPr>
        <w:autoSpaceDN w:val="0"/>
        <w:autoSpaceDE w:val="0"/>
        <w:widowControl/>
        <w:spacing w:line="245" w:lineRule="auto" w:before="346" w:after="0"/>
        <w:ind w:left="2270" w:right="187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“Art. 138. Constitui ato irregular a ação ou omissão do USUÁRIO, relativa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qualquer dos seguintes fatos: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I. Intervenção nas instalações dos sistemas públicos de água e esgotos;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II. Instalação hidráulica predial de água ligada à rede pública interligada com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abastecimento de água alimentada por outras fontes;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III. Lançam</w:t>
      </w:r>
      <w:r>
        <w:rPr>
          <w:rFonts w:ascii="Calibri" w:hAnsi="Calibri" w:eastAsia="Calibri"/>
          <w:b w:val="0"/>
          <w:i w:val="0"/>
          <w:color w:val="00000A"/>
          <w:sz w:val="24"/>
        </w:rPr>
        <w:t>ento de despejos na rede pública de esgotamento sanitário,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proibidos, sem prévia autorização do PRESTADOR DE SERVIÇOS ou fora dos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padrões definidos pelos PRESTADOR;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IV. Qualquer ação realizada com o intuito de alterar o consumo de água e/ou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esgoto;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V. Lançamento de águas pluviais nas instalações ou coletores prediais 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esgotos sanitários;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VI. Restabelecimento irregular do abastecimento de água em ligações cortadas;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VII. Interligação de instalações prediais de água, entre imóveis distintos;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VIII. Impedimento voluntário à execução de serviços pelo PRESTADOR DE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SERVIÇOS;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IX. Desperdício de água em períodos oficiais de racionamento;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X. Utilização indevida do hidrante instalado na área interna do imóvel;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XI. Lacrar a tampa da caixa de inspeção de esgoto;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XII. Ausência de caixa de inspeção no ramal de esgoto em logradouro público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(testada do imóvel);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XIII. Lançamento de esgoto nas instalações ou coletores de águas pluviais.” (NR)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9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171 – 10/01/2017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Revogar e alterar parcialmente os incisos do artigo 139 da Resolução ARES-PCJ nº 137,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19/04/de 2016, que passam a vigorar com as seguintes redações e numerações: </w:t>
      </w:r>
    </w:p>
    <w:p>
      <w:pPr>
        <w:autoSpaceDN w:val="0"/>
        <w:autoSpaceDE w:val="0"/>
        <w:widowControl/>
        <w:spacing w:line="245" w:lineRule="auto" w:before="344" w:after="0"/>
        <w:ind w:left="2270" w:right="1872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“Art. 139. Serão consideradas INFRAÇÕES os procedimentos irregulares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responsabilidade exclusiva do USUÁRIO, conforme segue: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I. INFRAÇÕES LEVES</w:t>
      </w:r>
      <w:r>
        <w:rPr>
          <w:rFonts w:ascii="Calibri" w:hAnsi="Calibri" w:eastAsia="Calibri"/>
          <w:b w:val="0"/>
          <w:i w:val="0"/>
          <w:color w:val="00000A"/>
          <w:sz w:val="24"/>
        </w:rPr>
        <w:t>: As irregularidades descritas nos incisos VII, VIII, IX, X, XI,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XII, do artigo 138 do presente Regulamento;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>II. INFRAÇÕES GRAVES: As irregularidades descritas nos incisos I, II, III, IV, V, VI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A"/>
          <w:sz w:val="24"/>
        </w:rPr>
        <w:t>e XIII, do artigo 138 do presente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A"/>
          <w:sz w:val="24"/>
        </w:rPr>
        <w:t>” (NR)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parágrafos 1º e 2º, do artigo 139 da Resolução ARES-PCJ nº 137, de 19/04/de 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permaneceram com suas respectivas redações.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71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171 – 10/01/2017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