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62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3237230</wp:posOffset>
            </wp:positionH>
            <wp:positionV relativeFrom="page">
              <wp:posOffset>359410</wp:posOffset>
            </wp:positionV>
            <wp:extent cx="1079499" cy="938530"/>
            <wp:wrapNone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79499" cy="93853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94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8"/>
        </w:rPr>
        <w:t xml:space="preserve">RESOLUÇÃO ARES-PCJ Nº 182, DE 31 DE MARÇO DE 2017. </w:t>
      </w:r>
    </w:p>
    <w:p>
      <w:pPr>
        <w:autoSpaceDN w:val="0"/>
        <w:autoSpaceDE w:val="0"/>
        <w:widowControl/>
        <w:spacing w:line="245" w:lineRule="auto" w:before="594" w:after="0"/>
        <w:ind w:left="5954" w:right="1362" w:firstLine="0"/>
        <w:jc w:val="both"/>
      </w:pPr>
      <w:r>
        <w:rPr>
          <w:rFonts w:ascii="Calibri" w:hAnsi="Calibri" w:eastAsia="Calibri"/>
          <w:b w:val="0"/>
          <w:i/>
          <w:color w:val="000000"/>
          <w:sz w:val="24"/>
        </w:rPr>
        <w:t xml:space="preserve">Retifica a numeração de incisos do Artigo 52 e </w:t>
      </w:r>
      <w:r>
        <w:br/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altera a redação do Artigo 63, da Resolução </w:t>
      </w:r>
      <w:r>
        <w:br/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ARES-PCJ nº 135, de 11/04/2016, e dá outras </w:t>
      </w:r>
      <w:r>
        <w:br/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providências. </w:t>
      </w:r>
    </w:p>
    <w:p>
      <w:pPr>
        <w:autoSpaceDN w:val="0"/>
        <w:autoSpaceDE w:val="0"/>
        <w:widowControl/>
        <w:spacing w:line="245" w:lineRule="auto" w:before="638" w:after="0"/>
        <w:ind w:left="1416" w:right="129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DIRETORIA EXECUTIVA DA AGÊNCIA REGULADORA DOS SERVIÇOS DE SANEAMENTO DAS </w:t>
      </w:r>
      <w:r>
        <w:rPr>
          <w:rFonts w:ascii="Calibri" w:hAnsi="Calibri" w:eastAsia="Calibri"/>
          <w:b/>
          <w:i w:val="0"/>
          <w:color w:val="000000"/>
          <w:sz w:val="24"/>
        </w:rPr>
        <w:t>BACIAS DOS RIOS PIRACICABA, CAPIVARI E JUNDIAÍ (AGÊNCIA REGULADORA PCJ OU ARES-</w:t>
      </w:r>
      <w:r>
        <w:rPr>
          <w:rFonts w:ascii="Calibri" w:hAnsi="Calibri" w:eastAsia="Calibri"/>
          <w:b/>
          <w:i w:val="0"/>
          <w:color w:val="000000"/>
          <w:sz w:val="24"/>
        </w:rPr>
        <w:t>PCJ)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, no uso de suas atribuições e na forma da Cláusula 32ª, inciso III, do Protocolo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Intenções da ARES-PCJ convertido em Contrato de Consórcio Público, e o Artigo 28, inciso III,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do Estatuto Social da Agência Reguladora PCJ e; </w:t>
      </w:r>
    </w:p>
    <w:p>
      <w:pPr>
        <w:autoSpaceDN w:val="0"/>
        <w:autoSpaceDE w:val="0"/>
        <w:widowControl/>
        <w:spacing w:line="197" w:lineRule="auto" w:before="640" w:after="0"/>
        <w:ind w:left="1416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CONSIDERANDO: </w:t>
      </w:r>
    </w:p>
    <w:p>
      <w:pPr>
        <w:autoSpaceDN w:val="0"/>
        <w:autoSpaceDE w:val="0"/>
        <w:widowControl/>
        <w:spacing w:line="245" w:lineRule="auto" w:before="640" w:after="0"/>
        <w:ind w:left="1416" w:right="129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a Lei federal nº 11.445, de 05 de janeiro de 2007, estabelece diretrizes nacionais para 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saneamento básico, e que o Decreto federal nº 7.217/2010 a regulamenta. </w:t>
      </w:r>
    </w:p>
    <w:p>
      <w:pPr>
        <w:autoSpaceDN w:val="0"/>
        <w:autoSpaceDE w:val="0"/>
        <w:widowControl/>
        <w:spacing w:line="245" w:lineRule="auto" w:before="344" w:after="0"/>
        <w:ind w:left="1416" w:right="136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a Lei federal nº 11.445/2007, nos termos do artigo 23, incisos I, IV e X, confere à entidade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reguladora competência para editar normas regulatórias de natureza técnica, econômica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social, incluindo padrões de qualidade na prestação dos serviços e no atendimento ao público. </w:t>
      </w:r>
    </w:p>
    <w:p>
      <w:pPr>
        <w:autoSpaceDN w:val="0"/>
        <w:autoSpaceDE w:val="0"/>
        <w:widowControl/>
        <w:spacing w:line="245" w:lineRule="auto" w:before="344" w:after="0"/>
        <w:ind w:left="1416" w:right="136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o Protocolo de Intenções da Agência Reguladora PCJ (ARES-PCJ), convertido em Contrato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Consórcio Público, nos termos da Cláusula 13ª, os municípios consorciados transferem 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exercício das competências de regulação e fiscalização dos serviços públicos de saneamento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básico à Agência Reguladora PCJ. </w:t>
      </w:r>
    </w:p>
    <w:p>
      <w:pPr>
        <w:autoSpaceDN w:val="0"/>
        <w:autoSpaceDE w:val="0"/>
        <w:widowControl/>
        <w:spacing w:line="245" w:lineRule="auto" w:before="348" w:after="0"/>
        <w:ind w:left="1416" w:right="136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a Agência Reguladora PCJ, através da Resolução ARES-PCJ nº 135, de 11/04/2016,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estabeleceu as Condições Gerais de Prestação dos Serviços Públicos de Limpeza Urbana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Manejo de Resíduos Sólidos. </w:t>
      </w:r>
    </w:p>
    <w:p>
      <w:pPr>
        <w:autoSpaceDN w:val="0"/>
        <w:autoSpaceDE w:val="0"/>
        <w:widowControl/>
        <w:spacing w:line="245" w:lineRule="auto" w:before="348" w:after="0"/>
        <w:ind w:left="1416" w:right="136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durante a 12ª Assembleia Geral Ordinária da ARES-PCJ, a sua Diretoria Executiva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informou que, em face do resultado das eleições municipais, ocorridas em outubro de 2016,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haveria necessidade de atualização de informações, cadastros e dados técnicos, relativos aos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serviços de limpeza pública, a serem desenvolvidos ao longo do ano de 2017. </w:t>
      </w:r>
    </w:p>
    <w:p>
      <w:pPr>
        <w:autoSpaceDN w:val="0"/>
        <w:autoSpaceDE w:val="0"/>
        <w:widowControl/>
        <w:spacing w:line="245" w:lineRule="auto" w:before="350" w:after="0"/>
        <w:ind w:left="1416" w:right="129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em função da necessidade de adequações no texto da Resolução nº 135 e alteração da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data de sua vigência, a Diretoria Executiva da ARES-PCJ, reunida em 31 de março de 2017, </w:t>
      </w:r>
    </w:p>
    <w:p>
      <w:pPr>
        <w:autoSpaceDN w:val="0"/>
        <w:tabs>
          <w:tab w:pos="10350" w:val="left"/>
        </w:tabs>
        <w:autoSpaceDE w:val="0"/>
        <w:widowControl/>
        <w:spacing w:line="197" w:lineRule="auto" w:before="1252" w:after="0"/>
        <w:ind w:left="1416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182 – 31/03/2017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1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10055860</wp:posOffset>
            </wp:positionV>
            <wp:extent cx="7556500" cy="636270"/>
            <wp:wrapNone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6500" cy="63627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8" w:h="16836"/>
          <w:pgMar w:top="284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3237230</wp:posOffset>
            </wp:positionH>
            <wp:positionV relativeFrom="page">
              <wp:posOffset>359410</wp:posOffset>
            </wp:positionV>
            <wp:extent cx="1079499" cy="938530"/>
            <wp:wrapNone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79499" cy="93853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88" w:after="0"/>
        <w:ind w:left="1416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RESOLVE: </w:t>
      </w:r>
    </w:p>
    <w:p>
      <w:pPr>
        <w:autoSpaceDN w:val="0"/>
        <w:autoSpaceDE w:val="0"/>
        <w:widowControl/>
        <w:spacing w:line="245" w:lineRule="auto" w:before="640" w:after="0"/>
        <w:ind w:left="1416" w:right="129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1º - Retificar a numeração de incisos do Artigo 52, da Resolução ARES-PCJ nº 135, de 11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abril de 2016, que passam a vigorar com as seguintes numerações: </w:t>
      </w:r>
    </w:p>
    <w:p>
      <w:pPr>
        <w:autoSpaceDN w:val="0"/>
        <w:autoSpaceDE w:val="0"/>
        <w:widowControl/>
        <w:spacing w:line="197" w:lineRule="auto" w:before="348" w:after="0"/>
        <w:ind w:left="1984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“... </w:t>
      </w:r>
    </w:p>
    <w:p>
      <w:pPr>
        <w:autoSpaceDN w:val="0"/>
        <w:autoSpaceDE w:val="0"/>
        <w:widowControl/>
        <w:spacing w:line="245" w:lineRule="auto" w:before="52" w:after="0"/>
        <w:ind w:left="1984" w:right="1366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VI. Manter registro atualizado das reclamações e solicitações dos usuários, com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anotações do objeto da reclamação, data e endereço do usuário, disponibilizando à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ARES-PCJ relatório completo das reclamações registradas; </w:t>
      </w:r>
    </w:p>
    <w:p>
      <w:pPr>
        <w:autoSpaceDN w:val="0"/>
        <w:autoSpaceDE w:val="0"/>
        <w:widowControl/>
        <w:spacing w:line="245" w:lineRule="auto" w:before="346" w:after="0"/>
        <w:ind w:left="1984" w:right="129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VII. Informar ao usuário o número do protocolo de atendimento ou ordem de serviço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quando da formulação da solicitação ou reclamação; </w:t>
      </w:r>
    </w:p>
    <w:p>
      <w:pPr>
        <w:autoSpaceDN w:val="0"/>
        <w:autoSpaceDE w:val="0"/>
        <w:widowControl/>
        <w:spacing w:line="245" w:lineRule="auto" w:before="344" w:after="0"/>
        <w:ind w:left="1984" w:right="129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VIII. Disponibilizar todas as informações solicitadas pelo usuário referentes à prestação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dos serviços, inclusive quanto às tarifas em vigor e os critérios de faturamento; </w:t>
      </w:r>
    </w:p>
    <w:p>
      <w:pPr>
        <w:autoSpaceDN w:val="0"/>
        <w:autoSpaceDE w:val="0"/>
        <w:widowControl/>
        <w:spacing w:line="245" w:lineRule="auto" w:before="344" w:after="0"/>
        <w:ind w:left="1984" w:right="137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IX. Comunicar aos usuários, no prazo de 10 (dez) dias úteis, as providências adotadas em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face de queixas ou de reclamações relativas aos serviços comunicar aos usuários,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quando não for possível uma resposta imediata; </w:t>
      </w:r>
    </w:p>
    <w:p>
      <w:pPr>
        <w:autoSpaceDN w:val="0"/>
        <w:autoSpaceDE w:val="0"/>
        <w:widowControl/>
        <w:spacing w:line="245" w:lineRule="auto" w:before="344" w:after="0"/>
        <w:ind w:left="1984" w:right="136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X. Disponibilizar, nos locais de atendimento, em local de fácil visualização e acesso, bem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como em seu sítio eletrônico, ou em outros meios de comunicação, exemplares desta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Resolução, do Manual de Prestação dos Serviços e Atendimento e do Código de Defesa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do Consumidor; </w:t>
      </w:r>
    </w:p>
    <w:p>
      <w:pPr>
        <w:autoSpaceDN w:val="0"/>
        <w:autoSpaceDE w:val="0"/>
        <w:widowControl/>
        <w:spacing w:line="245" w:lineRule="auto" w:before="344" w:after="0"/>
        <w:ind w:left="1984" w:right="1366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XI. Desenvolver regularmente campanhas com vistas a informar ao usuário sobre 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importância da limpeza urbana e do manejo de resíduos sólidos, bem como divulgar 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direitos e deveres do usuário, entre outras; </w:t>
      </w:r>
    </w:p>
    <w:p>
      <w:pPr>
        <w:autoSpaceDN w:val="0"/>
        <w:autoSpaceDE w:val="0"/>
        <w:widowControl/>
        <w:spacing w:line="245" w:lineRule="auto" w:before="344" w:after="0"/>
        <w:ind w:left="1984" w:right="129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XII. Disponibilizar aos usuários o Manual de Prestação dos Serviços e Atendimento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aprovado pela ARES-PCJ.“ (NR) </w:t>
      </w:r>
    </w:p>
    <w:p>
      <w:pPr>
        <w:autoSpaceDN w:val="0"/>
        <w:autoSpaceDE w:val="0"/>
        <w:widowControl/>
        <w:spacing w:line="245" w:lineRule="auto" w:before="344" w:after="0"/>
        <w:ind w:left="1416" w:right="129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2º - Alterar a redação do Artigo 63, da Resolução ARES-PCJ nº 135, de 11 de abril de 2016,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passa a vigorar com a seguinte redação: </w:t>
      </w:r>
    </w:p>
    <w:p>
      <w:pPr>
        <w:autoSpaceDN w:val="0"/>
        <w:autoSpaceDE w:val="0"/>
        <w:widowControl/>
        <w:spacing w:line="197" w:lineRule="auto" w:before="350" w:after="0"/>
        <w:ind w:left="226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“Art.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63.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Esta Resolução entrará em vigor em 1º de janeiro de 2018.” (NR) </w:t>
      </w:r>
    </w:p>
    <w:p>
      <w:pPr>
        <w:autoSpaceDN w:val="0"/>
        <w:autoSpaceDE w:val="0"/>
        <w:widowControl/>
        <w:spacing w:line="245" w:lineRule="auto" w:before="342" w:after="0"/>
        <w:ind w:left="1416" w:right="129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3º - Esta Resolução entrará em vigor na data de sua publicação, revogando-se 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disposições em contrário. </w:t>
      </w:r>
    </w:p>
    <w:p>
      <w:pPr>
        <w:autoSpaceDN w:val="0"/>
        <w:autoSpaceDE w:val="0"/>
        <w:widowControl/>
        <w:spacing w:line="245" w:lineRule="auto" w:before="928" w:after="0"/>
        <w:ind w:left="4752" w:right="4608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DALTO FAVERO BROCHI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>Diretor Geral</w:t>
      </w:r>
    </w:p>
    <w:p>
      <w:pPr>
        <w:autoSpaceDN w:val="0"/>
        <w:tabs>
          <w:tab w:pos="10350" w:val="left"/>
        </w:tabs>
        <w:autoSpaceDE w:val="0"/>
        <w:widowControl/>
        <w:spacing w:line="197" w:lineRule="auto" w:before="370" w:after="0"/>
        <w:ind w:left="1416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182 – 31/03/2017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2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10055860</wp:posOffset>
            </wp:positionV>
            <wp:extent cx="7556500" cy="636270"/>
            <wp:wrapNone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6500" cy="636270"/>
                    </a:xfrm>
                    <a:prstGeom prst="rect"/>
                  </pic:spPr>
                </pic:pic>
              </a:graphicData>
            </a:graphic>
          </wp:anchor>
        </w:drawing>
      </w:r>
    </w:p>
    <w:sectPr w:rsidR="00FC693F" w:rsidRPr="0006063C" w:rsidSect="00034616">
      <w:pgSz w:w="11908" w:h="16836"/>
      <w:pgMar w:top="282" w:right="0" w:bottom="0" w:left="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