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449580</wp:posOffset>
            </wp:positionV>
            <wp:extent cx="1315720" cy="9461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946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186, DE 02 DE MAIO DE 2017. </w:t>
      </w:r>
    </w:p>
    <w:p>
      <w:pPr>
        <w:autoSpaceDN w:val="0"/>
        <w:autoSpaceDE w:val="0"/>
        <w:widowControl/>
        <w:spacing w:line="245" w:lineRule="auto" w:before="64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da Tarifa Referencial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(TRA), da Tarifa Referencial do Esgoto (TRE)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tarifas dos demais serviços prestados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concessionária Odebrecht Ambiental Limeira S/A,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município de Limeira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07/1994, o Município de Limeira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plena para a execução de obras e serviços na gestão dos sistemas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com a empresa Odebrecht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 S/A;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5.157, de 26/08/2013,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Limeira ratificou o Protocolo de Intenções da agência reguladora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da qualidade da prestação dos serviços de saneamento básico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Ofício DIR 023/2017, de 31 de março de 2017 e sua complementação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Ofício DIR 024/2017, de 07 de abril de 2017, a Odebrecht Ambiental Limeira S/A,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nos valores das Tarifas Referencial de Água (TRA) e Referencial de Esgoto (TRE),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reposição das perdas inflacionárias com base na fórmula paramétrica definida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Catorze Termo de Aditamento ao Contrato (datado de 28 de maio de 2015);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nº 18/2017-CRO,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 para reposição das perdas inflacionárias do período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vislumbrar plena regularidade do pleito em sua composição documental e atendimento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prazos e premissas definidas pela ARES-PCJ (Resolução ARES-PCJ nº 70, de 11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2014);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2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186 – 02/05/2017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38"/>
          <w:pgMar w:top="354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449580</wp:posOffset>
            </wp:positionV>
            <wp:extent cx="1315720" cy="9461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946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de Limeira, reunido em 02 de maio de 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10h, tomou ciência do conteúdo do Parecer Consolidado nº 18/2017 -CRO da ARES-PCJ; e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Limeira, a Diretoria Executiva da ARES-PCJ, reunida extraordinariamente em 02 de maio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2017, decidiu pela emissão dessa resolução específica, visando fixar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Referenciais de Água e Esgoto (TRA e TRE) e dos demais serviços prestados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 Odebrecht Ambiental.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valores da Tarifa Referencial de Água (TRA) e da Tarifa Referencial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(TRE), praticados pela empresa Odebrecht Ambiental Limeira S.A., em 1,93% (um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 e noventa e três centésimos por cento), passando dos atuais R$4,43 (quatro reais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quarenta e três centavos), para R$4,52 (quatro reais e cinquenta e dois centavos).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Fixar, em função do reajuste da Tarifa Referencial de Água (TRA) e da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Referencial de Esgoto (TRE), os novos valores para as Tarifas de Água e Esgoto,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consumo, conforme Tabela 1, do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e fixar novo valor para a Tabela de Prestação de Serviços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contratual IPCA-E, que acumula nos últimos 12 meses, 4,73%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e três centésimos por cento), passando a ser remunerados conforme Tabela 2,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Fixar, em função do reajuste da Tarifa Referencial de Esgoto (TRE),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parcela relativa ao Grau Poluente do Efluente, conforme Tabela 3,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valores, estabelecidos nesta Resolução, deverão ser divulgados no Diário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Oficial do Município de Limeira, em atendimento ao art. 39, da Lei Federal nº 11.445/2007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aplicados nas contas/faturas a partir do mês de 02 de junho de 2017.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2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186 – 02/05/2017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38"/>
          <w:pgMar w:top="354" w:right="134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449580</wp:posOffset>
            </wp:positionV>
            <wp:extent cx="1315720" cy="9461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946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186, DE 02 DE MAIO DE 2017. </w:t>
      </w:r>
    </w:p>
    <w:p>
      <w:pPr>
        <w:autoSpaceDN w:val="0"/>
        <w:autoSpaceDE w:val="0"/>
        <w:widowControl/>
        <w:spacing w:line="245" w:lineRule="auto" w:before="346" w:after="4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– Junho/2017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278"/>
        <w:gridCol w:w="2278"/>
        <w:gridCol w:w="2278"/>
        <w:gridCol w:w="2278"/>
      </w:tblGrid>
      <w:tr>
        <w:trPr>
          <w:trHeight w:hRule="exact" w:val="360"/>
        </w:trPr>
        <w:tc>
          <w:tcPr>
            <w:tcW w:type="dxa" w:w="2758"/>
            <w:vMerge w:val="restart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CATEGORIAS DE USO </w:t>
            </w:r>
          </w:p>
        </w:tc>
        <w:tc>
          <w:tcPr>
            <w:tcW w:type="dxa" w:w="3880"/>
            <w:gridSpan w:val="2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CLASSES DE CONSUMO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</w:t>
            </w:r>
          </w:p>
        </w:tc>
      </w:tr>
      <w:tr>
        <w:trPr>
          <w:trHeight w:hRule="exact" w:val="556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(m3/mês.econ)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1962"/>
            </w:tblGrid>
            <w:tr>
              <w:trPr>
                <w:trHeight w:hRule="exact" w:val="516"/>
              </w:trPr>
              <w:tc>
                <w:tcPr>
                  <w:tcW w:type="dxa" w:w="1952"/>
                  <w:tcBorders/>
                  <w:shd w:fill="bebfb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AGUA (R$/m³)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(R$/m³) </w:t>
            </w:r>
          </w:p>
        </w:tc>
      </w:tr>
      <w:tr>
        <w:trPr>
          <w:trHeight w:hRule="exact" w:val="360"/>
        </w:trPr>
        <w:tc>
          <w:tcPr>
            <w:tcW w:type="dxa" w:w="2758"/>
            <w:vMerge w:val="restart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2,03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2,03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2,80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2,80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5,56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5,56 </w:t>
            </w:r>
          </w:p>
        </w:tc>
      </w:tr>
      <w:tr>
        <w:trPr>
          <w:trHeight w:hRule="exact" w:val="362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9,04 </w:t>
            </w:r>
          </w:p>
        </w:tc>
        <w:tc>
          <w:tcPr>
            <w:tcW w:type="dxa" w:w="2434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9,04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11,30 </w:t>
            </w:r>
          </w:p>
        </w:tc>
        <w:tc>
          <w:tcPr>
            <w:tcW w:type="dxa" w:w="2434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11,30 </w:t>
            </w:r>
          </w:p>
        </w:tc>
      </w:tr>
      <w:tr>
        <w:trPr>
          <w:trHeight w:hRule="exact" w:val="360"/>
        </w:trPr>
        <w:tc>
          <w:tcPr>
            <w:tcW w:type="dxa" w:w="2758"/>
            <w:vMerge w:val="restart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RESIDENCIAL POPULAR </w:t>
            </w:r>
          </w:p>
        </w:tc>
        <w:tc>
          <w:tcPr>
            <w:tcW w:type="dxa" w:w="191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0,90 </w:t>
            </w:r>
          </w:p>
        </w:tc>
        <w:tc>
          <w:tcPr>
            <w:tcW w:type="dxa" w:w="2434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0,90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0,90 </w:t>
            </w:r>
          </w:p>
        </w:tc>
        <w:tc>
          <w:tcPr>
            <w:tcW w:type="dxa" w:w="2434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0,90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3,84 </w:t>
            </w:r>
          </w:p>
        </w:tc>
        <w:tc>
          <w:tcPr>
            <w:tcW w:type="dxa" w:w="2434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3,84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6,78 </w:t>
            </w:r>
          </w:p>
        </w:tc>
        <w:tc>
          <w:tcPr>
            <w:tcW w:type="dxa" w:w="2434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6,78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9,04 </w:t>
            </w:r>
          </w:p>
        </w:tc>
        <w:tc>
          <w:tcPr>
            <w:tcW w:type="dxa" w:w="2434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9,04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11,30 </w:t>
            </w:r>
          </w:p>
        </w:tc>
        <w:tc>
          <w:tcPr>
            <w:tcW w:type="dxa" w:w="2434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11,30 </w:t>
            </w:r>
          </w:p>
        </w:tc>
      </w:tr>
      <w:tr>
        <w:trPr>
          <w:trHeight w:hRule="exact" w:val="360"/>
        </w:trPr>
        <w:tc>
          <w:tcPr>
            <w:tcW w:type="dxa" w:w="2758"/>
            <w:vMerge w:val="restart"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1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4,52 </w:t>
            </w:r>
          </w:p>
        </w:tc>
        <w:tc>
          <w:tcPr>
            <w:tcW w:type="dxa" w:w="2434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4,52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96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6,78 </w:t>
            </w:r>
          </w:p>
        </w:tc>
        <w:tc>
          <w:tcPr>
            <w:tcW w:type="dxa" w:w="243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6,78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6,78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6,78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11,30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11,30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15,82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15,82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20,34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20,34 </w:t>
            </w:r>
          </w:p>
        </w:tc>
      </w:tr>
      <w:tr>
        <w:trPr>
          <w:trHeight w:hRule="exact" w:val="360"/>
        </w:trPr>
        <w:tc>
          <w:tcPr>
            <w:tcW w:type="dxa" w:w="2758"/>
            <w:vMerge w:val="restart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4,52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4,52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4,52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4,52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11,75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11,75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16,27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16,27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20,79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20,79 </w:t>
            </w:r>
          </w:p>
        </w:tc>
      </w:tr>
      <w:tr>
        <w:trPr>
          <w:trHeight w:hRule="exact" w:val="360"/>
        </w:trPr>
        <w:tc>
          <w:tcPr>
            <w:tcW w:type="dxa" w:w="2758"/>
            <w:vMerge w:val="restart"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PÚBLICA </w:t>
            </w:r>
          </w:p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2,71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2,71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15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a 30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60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7,23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a 100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11,30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11,30 </w:t>
            </w:r>
          </w:p>
        </w:tc>
      </w:tr>
      <w:tr>
        <w:trPr>
          <w:trHeight w:hRule="exact" w:val="360"/>
        </w:trPr>
        <w:tc>
          <w:tcPr>
            <w:tcW w:type="dxa" w:w="2278"/>
            <w:vMerge/>
            <w:tcBorders>
              <w:start w:sz="7.2000000000000455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918"/>
            <w:tcBorders>
              <w:start w:sz="7.2000000000000455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96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13,56 </w:t>
            </w:r>
          </w:p>
        </w:tc>
        <w:tc>
          <w:tcPr>
            <w:tcW w:type="dxa" w:w="243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13,56 </w:t>
            </w:r>
          </w:p>
        </w:tc>
      </w:tr>
    </w:tbl>
    <w:p>
      <w:pPr>
        <w:autoSpaceDN w:val="0"/>
        <w:tabs>
          <w:tab w:pos="8940" w:val="left"/>
        </w:tabs>
        <w:autoSpaceDE w:val="0"/>
        <w:widowControl/>
        <w:spacing w:line="197" w:lineRule="auto" w:before="314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186 – 02/05/2017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38"/>
          <w:pgMar w:top="354" w:right="1384" w:bottom="568" w:left="14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449580</wp:posOffset>
            </wp:positionV>
            <wp:extent cx="1315720" cy="9461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946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186, DE 02 DE MAIO DE 2017. </w:t>
      </w:r>
    </w:p>
    <w:p>
      <w:pPr>
        <w:autoSpaceDN w:val="0"/>
        <w:autoSpaceDE w:val="0"/>
        <w:widowControl/>
        <w:spacing w:line="245" w:lineRule="auto" w:before="346" w:after="296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de Prestação de Serviços – Junho/2017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3023"/>
        <w:gridCol w:w="3023"/>
        <w:gridCol w:w="3023"/>
      </w:tblGrid>
      <w:tr>
        <w:trPr>
          <w:trHeight w:hRule="exact" w:val="44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2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 Conserto de cavalete ¾”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66,49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 Substituição de hidrômetro de ¾" danificado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132,48</w:t>
            </w:r>
          </w:p>
        </w:tc>
      </w:tr>
      <w:tr>
        <w:trPr>
          <w:trHeight w:hRule="exact" w:val="302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 Conserto de ligação de água de ¾" danificada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156,22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04 </w:t>
            </w:r>
          </w:p>
        </w:tc>
        <w:tc>
          <w:tcPr>
            <w:tcW w:type="dxa" w:w="64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04 Conserto de ligação de esgoto de 4"danificada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341,84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05 Religação de água no cavalete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123,73</w:t>
            </w:r>
          </w:p>
        </w:tc>
      </w:tr>
      <w:tr>
        <w:trPr>
          <w:trHeight w:hRule="exact" w:val="302"/>
        </w:trPr>
        <w:tc>
          <w:tcPr>
            <w:tcW w:type="dxa" w:w="51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</w:t>
            </w:r>
          </w:p>
        </w:tc>
        <w:tc>
          <w:tcPr>
            <w:tcW w:type="dxa" w:w="647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 Religação de água na ligação ou por outros meios </w:t>
            </w:r>
          </w:p>
        </w:tc>
        <w:tc>
          <w:tcPr>
            <w:tcW w:type="dxa" w:w="173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195,10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 </w:t>
            </w:r>
          </w:p>
        </w:tc>
        <w:tc>
          <w:tcPr>
            <w:tcW w:type="dxa" w:w="64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 Supressão da ligação de água </w:t>
            </w:r>
          </w:p>
        </w:tc>
        <w:tc>
          <w:tcPr>
            <w:tcW w:type="dxa" w:w="17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262,81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08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08 Vistoria Domiciliar até duas economias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59,78</w:t>
            </w:r>
          </w:p>
        </w:tc>
      </w:tr>
      <w:tr>
        <w:trPr>
          <w:trHeight w:hRule="exact" w:val="30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09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09 Ligação de água de ¾” sem pavimento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474,76</w:t>
            </w:r>
          </w:p>
        </w:tc>
      </w:tr>
      <w:tr>
        <w:trPr>
          <w:trHeight w:hRule="exact" w:val="596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caixa na calçada quando de execução de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de ¾” ou remanejamento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252,10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Ligação de esgoto de 4" sem pavimento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589,13</w:t>
            </w:r>
          </w:p>
        </w:tc>
      </w:tr>
      <w:tr>
        <w:trPr>
          <w:trHeight w:hRule="exact" w:val="306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Segunda via de conta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6,28</w:t>
            </w:r>
          </w:p>
        </w:tc>
      </w:tr>
      <w:tr>
        <w:trPr>
          <w:trHeight w:hRule="exact" w:val="30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Declaração negativa de débitos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6,28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Aferição de hidrômetro 1,5 a 5 m³/h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94,97</w:t>
            </w:r>
          </w:p>
        </w:tc>
      </w:tr>
      <w:tr>
        <w:trPr>
          <w:trHeight w:hRule="exact" w:val="30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Aferição de hidrômetro acima de 5 m³/h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299,34</w:t>
            </w:r>
          </w:p>
        </w:tc>
      </w:tr>
      <w:tr>
        <w:trPr>
          <w:trHeight w:hRule="exact" w:val="306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Teste de hidrômetro 1,5 a 5 m³/h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59,78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Pavimentação em metro linear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89,73</w:t>
            </w:r>
          </w:p>
        </w:tc>
      </w:tr>
      <w:tr>
        <w:trPr>
          <w:trHeight w:hRule="exact" w:val="30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Remanejamento de ligação de água de ¾” inferior a 2 metros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190,07</w:t>
            </w:r>
          </w:p>
        </w:tc>
      </w:tr>
      <w:tr>
        <w:trPr>
          <w:trHeight w:hRule="exact" w:val="30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Remanejamento de ligação de água de ¾” superior a 2 metros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737,54</w:t>
            </w:r>
          </w:p>
        </w:tc>
      </w:tr>
      <w:tr>
        <w:trPr>
          <w:trHeight w:hRule="exact" w:val="594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Conserto de rede de água danificada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apurado </w:t>
            </w:r>
          </w:p>
        </w:tc>
      </w:tr>
      <w:tr>
        <w:trPr>
          <w:trHeight w:hRule="exact" w:val="600"/>
        </w:trPr>
        <w:tc>
          <w:tcPr>
            <w:tcW w:type="dxa" w:w="5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64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Conserto de rede de esgoto danificada </w:t>
            </w:r>
          </w:p>
        </w:tc>
        <w:tc>
          <w:tcPr>
            <w:tcW w:type="dxa" w:w="17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custo apurado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4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186 – 02/05/2017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38"/>
          <w:pgMar w:top="354" w:right="1418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3122930</wp:posOffset>
            </wp:positionH>
            <wp:positionV relativeFrom="page">
              <wp:posOffset>449580</wp:posOffset>
            </wp:positionV>
            <wp:extent cx="1315720" cy="9461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720" cy="946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2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186, DE 02 DE MAIO DE 2017. </w:t>
      </w:r>
    </w:p>
    <w:p>
      <w:pPr>
        <w:autoSpaceDN w:val="0"/>
        <w:autoSpaceDE w:val="0"/>
        <w:widowControl/>
        <w:spacing w:line="245" w:lineRule="auto" w:before="346" w:after="296"/>
        <w:ind w:left="432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3 – Parcela Relativa ao Grau Poluente do Efluente, em R$/kg – Junho/2017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886" w:type="dxa"/>
      </w:tblPr>
      <w:tblGrid>
        <w:gridCol w:w="9070"/>
      </w:tblGrid>
      <w:tr>
        <w:trPr>
          <w:trHeight w:hRule="exact" w:val="598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ETG = ( A + B + C) </w:t>
            </w:r>
          </w:p>
        </w:tc>
      </w:tr>
      <w:tr>
        <w:trPr>
          <w:trHeight w:hRule="exact" w:val="594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</w:tr>
      <w:tr>
        <w:trPr>
          <w:trHeight w:hRule="exact" w:val="600"/>
        </w:trPr>
        <w:tc>
          <w:tcPr>
            <w:tcW w:type="dxa" w:w="89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a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594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=Valor relativo a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1 TRE </w:t>
            </w:r>
          </w:p>
        </w:tc>
      </w:tr>
      <w:tr>
        <w:trPr>
          <w:trHeight w:hRule="exact" w:val="596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Valor relativo a concentração média mensal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x vazão medida mensal x 100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TRE</w:t>
            </w:r>
          </w:p>
        </w:tc>
      </w:tr>
      <w:tr>
        <w:trPr>
          <w:trHeight w:hRule="exact" w:val="890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MO (Matéria Orgânica)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: Concentração média mensal excedente nos dias trabalhados,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relação ao previsto na presente norma, em Kgl/m3, de matéria orgânica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(MO)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 seguinte equação: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(2 x DBO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a 20° C + DQO)/3</w:t>
            </w:r>
          </w:p>
        </w:tc>
      </w:tr>
      <w:tr>
        <w:trPr>
          <w:trHeight w:hRule="exact" w:val="886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5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SST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(Sólidos Suspensos Totais): Concentração média mensal excedente nos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trabalhados, em relação ao previsto na presente norma, em Kg/m3, de Sólidos Suspensos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Totais. </w:t>
            </w:r>
          </w:p>
        </w:tc>
      </w:tr>
      <w:tr>
        <w:trPr>
          <w:trHeight w:hRule="exact" w:val="892"/>
        </w:trPr>
        <w:tc>
          <w:tcPr>
            <w:tcW w:type="dxa" w:w="89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5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SIT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(Substâncias inibidoras e Tóxicas ao processo de tratamento): Concentração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mensal (Kg/m³) excedente nos dias trabalhados, em relação ao previsto para cada um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parâmetros constantes nas normas internas do concessionário.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0" w:right="43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Legenda: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TRE: Taxa Referencial de Esgoto dada em R$/kg. </w:t>
      </w:r>
    </w:p>
    <w:p>
      <w:pPr>
        <w:autoSpaceDN w:val="0"/>
        <w:autoSpaceDE w:val="0"/>
        <w:widowControl/>
        <w:spacing w:line="245" w:lineRule="auto" w:before="52" w:after="0"/>
        <w:ind w:left="0" w:right="25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DBO</w:t>
      </w:r>
      <w:r>
        <w:rPr>
          <w:rFonts w:ascii="Calibri" w:hAnsi="Calibri" w:eastAsia="Calibri"/>
          <w:b w:val="0"/>
          <w:i w:val="0"/>
          <w:color w:val="000000"/>
          <w:sz w:val="16"/>
        </w:rPr>
        <w:t>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Demanda Bioquímica de Oxigênio, durante 5 dias, a 200 C. </w:t>
      </w:r>
      <w:r>
        <w:rPr>
          <w:rFonts w:ascii="Calibri" w:hAnsi="Calibri" w:eastAsia="Calibri"/>
          <w:b w:val="0"/>
          <w:i w:val="0"/>
          <w:color w:val="000000"/>
          <w:sz w:val="24"/>
        </w:rPr>
        <w:t>DQO: Demanda Química de Oxigênio.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46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186 – 02/05/2017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sectPr w:rsidR="00FC693F" w:rsidRPr="0006063C" w:rsidSect="00034616">
      <w:pgSz w:w="11906" w:h="16838"/>
      <w:pgMar w:top="354" w:right="1418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