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6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199, DE 17 DE JULHO DE 2017 </w:t>
      </w:r>
    </w:p>
    <w:p>
      <w:pPr>
        <w:autoSpaceDN w:val="0"/>
        <w:autoSpaceDE w:val="0"/>
        <w:widowControl/>
        <w:spacing w:line="245" w:lineRule="auto" w:before="642" w:after="0"/>
        <w:ind w:left="5956" w:right="136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inclusão de parágrafo único no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artigo 125 e o § 4º no artigo 145, da Resolução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ARES-PCJ nº 145 de 19/07/2016, que </w:t>
      </w:r>
      <w:r>
        <w:rPr>
          <w:rFonts w:ascii="Calibri" w:hAnsi="Calibri" w:eastAsia="Calibri"/>
          <w:b w:val="0"/>
          <w:i/>
          <w:color w:val="000000"/>
          <w:sz w:val="24"/>
        </w:rPr>
        <w:t>aprova o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Regulamento de Prestação dos Serviços e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Atendimento aos Usuários do Município de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>Campinas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,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</w:t>
      </w:r>
      <w:r>
        <w:rPr>
          <w:rFonts w:ascii="Calibri" w:hAnsi="Calibri" w:eastAsia="Calibri"/>
          <w:b/>
          <w:i w:val="0"/>
          <w:color w:val="000000"/>
          <w:sz w:val="24"/>
        </w:rPr>
        <w:t>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no uso de suas atribuições e na forma da Cláusula 32ª, inciso III, do Protocolo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Intenções da ARES-PCJ convertido em Contrato de Consórcio Público, e o Artigo 28, inciso III,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Estatuto Social da Agência Reguladora PCJ e; </w:t>
      </w:r>
    </w:p>
    <w:p>
      <w:pPr>
        <w:autoSpaceDN w:val="0"/>
        <w:autoSpaceDE w:val="0"/>
        <w:widowControl/>
        <w:spacing w:line="197" w:lineRule="auto" w:before="934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CONSIDERANDO: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930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disposto no art. 23 da Lei Federal nº 11.445, </w:t>
      </w:r>
      <w:r>
        <w:rPr>
          <w:rFonts w:ascii="Calibri" w:hAnsi="Calibri" w:eastAsia="Calibri"/>
          <w:b w:val="0"/>
          <w:i w:val="0"/>
          <w:color w:val="000000"/>
          <w:sz w:val="24"/>
        </w:rPr>
        <w:t>de 05/01/2007</w:t>
      </w:r>
      <w:r>
        <w:rPr>
          <w:rFonts w:ascii="Calibri" w:hAnsi="Calibri" w:eastAsia="Calibri"/>
          <w:b w:val="0"/>
          <w:i w:val="0"/>
          <w:color w:val="000000"/>
          <w:sz w:val="24"/>
        </w:rPr>
        <w:t>, que define os aspectos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normativos em que as agências reguladoras editarão normas relativas às dimensões técnicas,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econômicas e sociais de prestação dos serviços de saneamento básico;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Os preceitos norteadores da Resolução ARES-PCJ nº 50, de 28/02/2014, em especial nos arts.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45 e 46, que delimitam a forma e a obrigação do prestador de serviços de saneamento básico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editar o Regulamento de Prestação de Serviços visando a divulgação do padrão normativo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aos usuários;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8" w:right="136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Sociedade de Abastecimento de Água e Saneamento S.A. – SANASA Campinas,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Sociedade de Economia Mista por Ações, de capital aberto</w:t>
      </w:r>
      <w:r>
        <w:rPr>
          <w:rFonts w:ascii="Calibri" w:hAnsi="Calibri" w:eastAsia="Calibri"/>
          <w:b w:val="0"/>
          <w:i w:val="0"/>
          <w:color w:val="000000"/>
          <w:sz w:val="24"/>
        </w:rPr>
        <w:t>, em conformidade com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Resolução ARES-PCJ nº 50, solicitou alterações em seu regulamento visando adequações;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Que a Agência Reguladora PCJ, através de analise concluiu que as alterações no Regulamento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apresentado pelo Prestador atende aos conteúdos mínimos estabelecidos pela Resolução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ARES-PCJ nº 50, de 28/02/2014, para a eficiente prestação dos serviços.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Que, em face do cumprimento de todas as diretrizes, a Diretoria Executiva da ARES-PCJ,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reunida em 17 de julho de 2017;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300" w:val="left"/>
        </w:tabs>
        <w:autoSpaceDE w:val="0"/>
        <w:widowControl/>
        <w:spacing w:line="197" w:lineRule="auto" w:before="94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199 – 17/07/2017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10006330</wp:posOffset>
            </wp:positionV>
            <wp:extent cx="7559040" cy="68707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70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41"/>
          <w:pgMar w:top="21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3256279</wp:posOffset>
            </wp:positionH>
            <wp:positionV relativeFrom="page">
              <wp:posOffset>269240</wp:posOffset>
            </wp:positionV>
            <wp:extent cx="1057910" cy="914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914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5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RESOLVE: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63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Incluir o parágrafo único no artigo 125 da Resolução ARES-PCJ nº 145, de 19/07/2016,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passa a vigorar com a seguinte redação: </w:t>
      </w:r>
    </w:p>
    <w:p>
      <w:pPr>
        <w:autoSpaceDN w:val="0"/>
        <w:autoSpaceDE w:val="0"/>
        <w:widowControl/>
        <w:spacing w:line="197" w:lineRule="auto" w:before="346" w:after="0"/>
        <w:ind w:left="227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125 ... </w:t>
      </w:r>
    </w:p>
    <w:p>
      <w:pPr>
        <w:autoSpaceDN w:val="0"/>
        <w:autoSpaceDE w:val="0"/>
        <w:widowControl/>
        <w:spacing w:line="245" w:lineRule="auto" w:before="348" w:after="0"/>
        <w:ind w:left="2270" w:right="192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Parágrafo único</w:t>
      </w:r>
      <w:r>
        <w:rPr>
          <w:rFonts w:ascii="Calibri" w:hAnsi="Calibri" w:eastAsia="Calibri"/>
          <w:b w:val="0"/>
          <w:i w:val="0"/>
          <w:color w:val="000000"/>
          <w:sz w:val="24"/>
        </w:rPr>
        <w:t>. As reclamações para fins de retificação/devolução de valores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deverão ser formuladas em até 60(sessenta) dias do vencimento da respectiva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fatura.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” (NR) </w:t>
      </w:r>
    </w:p>
    <w:p>
      <w:pPr>
        <w:autoSpaceDN w:val="0"/>
        <w:autoSpaceDE w:val="0"/>
        <w:widowControl/>
        <w:spacing w:line="245" w:lineRule="auto" w:before="344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Incluir o § 4º no artigo 145 da Resolução ARES-PCJ nº 145, de 19/07/2016, com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seguinte redação: </w:t>
      </w:r>
    </w:p>
    <w:p>
      <w:pPr>
        <w:autoSpaceDN w:val="0"/>
        <w:autoSpaceDE w:val="0"/>
        <w:widowControl/>
        <w:spacing w:line="197" w:lineRule="auto" w:before="346" w:after="0"/>
        <w:ind w:left="227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145 ... </w:t>
      </w:r>
    </w:p>
    <w:p>
      <w:pPr>
        <w:autoSpaceDN w:val="0"/>
        <w:autoSpaceDE w:val="0"/>
        <w:widowControl/>
        <w:spacing w:line="245" w:lineRule="auto" w:before="344" w:after="0"/>
        <w:ind w:left="2270" w:right="187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§ 4º. </w:t>
      </w:r>
      <w:r>
        <w:rPr>
          <w:rFonts w:ascii="Calibri" w:hAnsi="Calibri" w:eastAsia="Calibri"/>
          <w:b w:val="0"/>
          <w:i w:val="0"/>
          <w:color w:val="000000"/>
          <w:sz w:val="24"/>
        </w:rPr>
        <w:t>As reclamações para fins de retificação/devolução de valores deverão ser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formuladas em até 60(sessenta) dias do vencimento da respectiva fatura.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” (NR)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Esta Resolução entrará em vigor na data de sua publicação, revogando-se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disposições em contrário. </w:t>
      </w:r>
    </w:p>
    <w:p>
      <w:pPr>
        <w:autoSpaceDN w:val="0"/>
        <w:autoSpaceDE w:val="0"/>
        <w:widowControl/>
        <w:spacing w:line="245" w:lineRule="auto" w:before="1226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</w:t>
      </w:r>
    </w:p>
    <w:p>
      <w:pPr>
        <w:autoSpaceDN w:val="0"/>
        <w:tabs>
          <w:tab w:pos="10300" w:val="left"/>
        </w:tabs>
        <w:autoSpaceDE w:val="0"/>
        <w:widowControl/>
        <w:spacing w:line="197" w:lineRule="auto" w:before="509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199 – 17/07/2017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10006330</wp:posOffset>
            </wp:positionV>
            <wp:extent cx="7559040" cy="68707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68707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41"/>
      <w:pgMar w:top="212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