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98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238, DE 02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546" w:after="0"/>
        <w:ind w:left="5672" w:right="105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Água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(TRA), da Tarifa Referencial do Esgoto (TRE) e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pela concessionária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BRK Ambiental Limeira S/A, no município de Limeira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562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1" w:lineRule="auto" w:before="26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7" w:lineRule="auto" w:before="256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sanitário, serviços esses operados pela BRK Ambiental Limeira S/A; </w:t>
      </w:r>
    </w:p>
    <w:p>
      <w:pPr>
        <w:autoSpaceDN w:val="0"/>
        <w:autoSpaceDE w:val="0"/>
        <w:widowControl/>
        <w:spacing w:line="245" w:lineRule="auto" w:before="264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consonância com as premissas constantes na Lei Federal nº 11.445, de 05/01/2007 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Federal nº 7.217, de 21/06/2010, o Município de Limeira, através da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5.157, de 26/08/2013,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264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BRK Ambiental S/A, concessionária responsável pelos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e esgotamento sanitário do Município de Limeira, solicitou reajuste nos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Referencial de Água (TRA) e Referencial de Esgoto (TRE), para reposição das perdas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inflacionárias com base na fórmula paramétrica definida no 14º (décimo quarto)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Aditamento ao Contrato (datado de 28 de maio de 2015); </w:t>
      </w:r>
    </w:p>
    <w:p>
      <w:pPr>
        <w:autoSpaceDN w:val="0"/>
        <w:autoSpaceDE w:val="0"/>
        <w:widowControl/>
        <w:spacing w:line="247" w:lineRule="auto" w:before="264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20/2018-CRO,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264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Limeira,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129/2018, reunido em 27 de abril de 2018, às 10h,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20/2018-CRO,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BRK Ambiental Limeira S/A; e </w:t>
      </w:r>
    </w:p>
    <w:p>
      <w:pPr>
        <w:autoSpaceDN w:val="0"/>
        <w:tabs>
          <w:tab w:pos="10208" w:val="left"/>
        </w:tabs>
        <w:autoSpaceDE w:val="0"/>
        <w:widowControl/>
        <w:spacing w:line="262" w:lineRule="auto" w:before="5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238 – 02/05/2018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40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02 de maio de 2018. </w:t>
      </w:r>
    </w:p>
    <w:p>
      <w:pPr>
        <w:autoSpaceDN w:val="0"/>
        <w:autoSpaceDE w:val="0"/>
        <w:widowControl/>
        <w:spacing w:line="271" w:lineRule="auto" w:before="26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7" w:lineRule="auto" w:before="256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S/A., em 3,90% (três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passando dos atuais R$4,52 (quatro reais e cinquenta e dois centavos),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R$4,70 (quatro reais e setenta centavos).</w:t>
      </w:r>
    </w:p>
    <w:p>
      <w:pPr>
        <w:autoSpaceDN w:val="0"/>
        <w:autoSpaceDE w:val="0"/>
        <w:widowControl/>
        <w:spacing w:line="247" w:lineRule="auto" w:before="264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(TRE), os novos valores para as Tarifas de Água e Esgoto, em todas as faixas e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conforme Tabela 1, do Anexo I, desta Resolução. </w:t>
      </w:r>
    </w:p>
    <w:p>
      <w:pPr>
        <w:autoSpaceDN w:val="0"/>
        <w:autoSpaceDE w:val="0"/>
        <w:widowControl/>
        <w:spacing w:line="245" w:lineRule="auto" w:before="264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que acumula nos últimos 12 meses, em 2,80% (dois inteiros e 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passando a ser remunerados conforme Tabela 2,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52" w:lineRule="auto" w:before="26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relativa ao Grau Poluente do Efluente, conforme Tabela 3, do Anexo I, desta Resolução. </w:t>
      </w:r>
    </w:p>
    <w:p>
      <w:pPr>
        <w:autoSpaceDN w:val="0"/>
        <w:autoSpaceDE w:val="0"/>
        <w:widowControl/>
        <w:spacing w:line="252" w:lineRule="auto" w:before="26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02 de junho de 2018, respeitado 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 após a publicação desta Resolução. </w:t>
      </w:r>
    </w:p>
    <w:p>
      <w:pPr>
        <w:autoSpaceDN w:val="0"/>
        <w:autoSpaceDE w:val="0"/>
        <w:widowControl/>
        <w:spacing w:line="245" w:lineRule="auto" w:before="266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BRK Limeira S/A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serviços,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266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Limeira S/A após 30 (trinta) dias da publicação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Limeira,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11.445/2007. </w:t>
      </w:r>
    </w:p>
    <w:p>
      <w:pPr>
        <w:autoSpaceDN w:val="0"/>
        <w:autoSpaceDE w:val="0"/>
        <w:widowControl/>
        <w:spacing w:line="247" w:lineRule="auto" w:before="26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264" w:lineRule="auto" w:before="2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54" w:lineRule="auto" w:before="848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262" w:lineRule="auto" w:before="2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238 – 02/05/2018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98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238, DE 02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377" w:lineRule="auto" w:before="542" w:after="274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10"/>
        </w:trPr>
        <w:tc>
          <w:tcPr>
            <w:tcW w:type="dxa" w:w="26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CATEGORIAS DE USO </w:t>
            </w:r>
          </w:p>
        </w:tc>
        <w:tc>
          <w:tcPr>
            <w:tcW w:type="dxa" w:w="312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CLASSES DE CONSUMO </w:t>
            </w:r>
          </w:p>
        </w:tc>
        <w:tc>
          <w:tcPr>
            <w:tcW w:type="dxa" w:w="328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</w:t>
            </w:r>
          </w:p>
        </w:tc>
      </w:tr>
      <w:tr>
        <w:trPr>
          <w:trHeight w:hRule="exact" w:val="6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(m3/mês.econ)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</w:tr>
      <w:tr>
        <w:trPr>
          <w:trHeight w:hRule="exact" w:val="310"/>
        </w:trPr>
        <w:tc>
          <w:tcPr>
            <w:tcW w:type="dxa" w:w="26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2,12 </w:t>
            </w:r>
          </w:p>
        </w:tc>
      </w:tr>
      <w:tr>
        <w:trPr>
          <w:trHeight w:hRule="exact" w:val="314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2,91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2,91 </w:t>
            </w:r>
          </w:p>
        </w:tc>
      </w:tr>
      <w:tr>
        <w:trPr>
          <w:trHeight w:hRule="exact" w:val="308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5,78 </w:t>
            </w:r>
          </w:p>
        </w:tc>
      </w:tr>
      <w:tr>
        <w:trPr>
          <w:trHeight w:hRule="exact" w:val="308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R4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</w:tr>
      <w:tr>
        <w:trPr>
          <w:trHeight w:hRule="exact" w:val="310"/>
        </w:trPr>
        <w:tc>
          <w:tcPr>
            <w:tcW w:type="dxa" w:w="26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POPULAR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</w:tr>
      <w:tr>
        <w:trPr>
          <w:trHeight w:hRule="exact" w:val="314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</w:tr>
      <w:tr>
        <w:trPr>
          <w:trHeight w:hRule="exact" w:val="308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4,00 </w:t>
            </w:r>
          </w:p>
        </w:tc>
      </w:tr>
      <w:tr>
        <w:trPr>
          <w:trHeight w:hRule="exact" w:val="308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RP4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</w:tr>
      <w:tr>
        <w:trPr>
          <w:trHeight w:hRule="exact" w:val="310"/>
        </w:trPr>
        <w:tc>
          <w:tcPr>
            <w:tcW w:type="dxa" w:w="26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</w:tr>
      <w:tr>
        <w:trPr>
          <w:trHeight w:hRule="exact" w:val="314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</w:tr>
      <w:tr>
        <w:trPr>
          <w:trHeight w:hRule="exact" w:val="308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</w:tr>
      <w:tr>
        <w:trPr>
          <w:trHeight w:hRule="exact" w:val="308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C4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</w:tr>
      <w:tr>
        <w:trPr>
          <w:trHeight w:hRule="exact" w:val="312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16,45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21,15 </w:t>
            </w:r>
          </w:p>
        </w:tc>
      </w:tr>
      <w:tr>
        <w:trPr>
          <w:trHeight w:hRule="exact" w:val="310"/>
        </w:trPr>
        <w:tc>
          <w:tcPr>
            <w:tcW w:type="dxa" w:w="26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I4 </w:t>
            </w:r>
          </w:p>
        </w:tc>
        <w:tc>
          <w:tcPr>
            <w:tcW w:type="dxa" w:w="191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12,22 </w:t>
            </w:r>
          </w:p>
        </w:tc>
        <w:tc>
          <w:tcPr>
            <w:tcW w:type="dxa" w:w="15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12,22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16,92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21,62 </w:t>
            </w:r>
          </w:p>
        </w:tc>
      </w:tr>
      <w:tr>
        <w:trPr>
          <w:trHeight w:hRule="exact" w:val="310"/>
        </w:trPr>
        <w:tc>
          <w:tcPr>
            <w:tcW w:type="dxa" w:w="26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PÚBLICA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5,17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P4 </w:t>
            </w:r>
          </w:p>
        </w:tc>
        <w:tc>
          <w:tcPr>
            <w:tcW w:type="dxa" w:w="191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  <w:tc>
          <w:tcPr>
            <w:tcW w:type="dxa" w:w="15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</w:tr>
      <w:tr>
        <w:trPr>
          <w:trHeight w:hRule="exact" w:val="31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14,10 </w:t>
            </w:r>
          </w:p>
        </w:tc>
      </w:tr>
    </w:tbl>
    <w:p>
      <w:pPr>
        <w:autoSpaceDN w:val="0"/>
        <w:tabs>
          <w:tab w:pos="1544" w:val="left"/>
        </w:tabs>
        <w:autoSpaceDE w:val="0"/>
        <w:widowControl/>
        <w:spacing w:line="252" w:lineRule="auto" w:before="0" w:after="0"/>
        <w:ind w:left="141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Observação*: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Errata public</w:t>
      </w:r>
      <w:r>
        <w:rPr>
          <w:rFonts w:ascii="Calibri" w:hAnsi="Calibri" w:eastAsia="Calibri"/>
          <w:b w:val="0"/>
          <w:i w:val="0"/>
          <w:color w:val="000000"/>
          <w:sz w:val="24"/>
        </w:rPr>
        <w:t>ada em 04/0</w:t>
      </w:r>
      <w:r>
        <w:rPr>
          <w:rFonts w:ascii="Calibri" w:hAnsi="Calibri" w:eastAsia="Calibri"/>
          <w:b w:val="0"/>
          <w:i w:val="0"/>
          <w:color w:val="000000"/>
          <w:sz w:val="24"/>
        </w:rPr>
        <w:t>5/2018 corrigindo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 casas decimais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tabela 1 -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conforme aditivo 14 do contrato de concessão. </w:t>
      </w:r>
    </w:p>
    <w:p>
      <w:pPr>
        <w:autoSpaceDN w:val="0"/>
        <w:tabs>
          <w:tab w:pos="10208" w:val="left"/>
        </w:tabs>
        <w:autoSpaceDE w:val="0"/>
        <w:widowControl/>
        <w:spacing w:line="262" w:lineRule="auto" w:before="5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238 – 02/05/2018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738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238, DE 02 DE MAIO</w:t>
      </w:r>
      <w:r>
        <w:rPr>
          <w:rFonts w:ascii="Calibri" w:hAnsi="Calibri" w:eastAsia="Calibri"/>
          <w:b/>
          <w:i w:val="0"/>
          <w:color w:val="000000"/>
          <w:sz w:val="28"/>
        </w:rPr>
        <w:t>DE 2018</w:t>
      </w:r>
    </w:p>
    <w:p>
      <w:pPr>
        <w:autoSpaceDN w:val="0"/>
        <w:autoSpaceDE w:val="0"/>
        <w:widowControl/>
        <w:spacing w:line="274" w:lineRule="auto" w:before="250" w:after="0"/>
        <w:ind w:left="0" w:right="53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71" w:lineRule="auto" w:before="252" w:after="274"/>
        <w:ind w:left="0" w:right="323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481"/>
        <w:gridCol w:w="3481"/>
        <w:gridCol w:w="3481"/>
      </w:tblGrid>
      <w:tr>
        <w:trPr>
          <w:trHeight w:hRule="exact" w:val="356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Conserto de cavalete ¾”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68,35 </w:t>
            </w:r>
          </w:p>
        </w:tc>
      </w:tr>
      <w:tr>
        <w:trPr>
          <w:trHeight w:hRule="exact" w:val="348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Substituição de hidrômetro de ¾" danificado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136,19 </w:t>
            </w:r>
          </w:p>
        </w:tc>
      </w:tr>
      <w:tr>
        <w:trPr>
          <w:trHeight w:hRule="exact" w:val="356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Conserto de ligação de água de ¾" danificada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160,59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Conserto de ligação de esgoto de 4"danificada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351,41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Religação de água no cavalete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127,19 </w:t>
            </w:r>
          </w:p>
        </w:tc>
      </w:tr>
      <w:tr>
        <w:trPr>
          <w:trHeight w:hRule="exact" w:val="35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Religação de água na ligação ou por outros meios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200,56 </w:t>
            </w:r>
          </w:p>
        </w:tc>
      </w:tr>
      <w:tr>
        <w:trPr>
          <w:trHeight w:hRule="exact" w:val="35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Supressão da ligação de água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270,17 </w:t>
            </w:r>
          </w:p>
        </w:tc>
      </w:tr>
      <w:tr>
        <w:trPr>
          <w:trHeight w:hRule="exact" w:val="348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Vistoria Domiciliar até duas economias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61,45 </w:t>
            </w:r>
          </w:p>
        </w:tc>
      </w:tr>
      <w:tr>
        <w:trPr>
          <w:trHeight w:hRule="exact" w:val="35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8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352" w:right="0" w:hanging="35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Ligação de água de ¾” sem pavimento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¾” ou remanejamento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488,05 </w:t>
            </w:r>
          </w:p>
        </w:tc>
      </w:tr>
      <w:tr>
        <w:trPr>
          <w:trHeight w:hRule="exact" w:val="59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4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259,16 </w:t>
            </w:r>
          </w:p>
        </w:tc>
      </w:tr>
      <w:tr>
        <w:trPr>
          <w:trHeight w:hRule="exact" w:val="356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605,63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</w:tr>
      <w:tr>
        <w:trPr>
          <w:trHeight w:hRule="exact" w:val="35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97,63 </w:t>
            </w:r>
          </w:p>
        </w:tc>
      </w:tr>
      <w:tr>
        <w:trPr>
          <w:trHeight w:hRule="exact" w:val="35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307,72 </w:t>
            </w:r>
          </w:p>
        </w:tc>
      </w:tr>
      <w:tr>
        <w:trPr>
          <w:trHeight w:hRule="exact" w:val="348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61,45 </w:t>
            </w:r>
          </w:p>
        </w:tc>
      </w:tr>
      <w:tr>
        <w:trPr>
          <w:trHeight w:hRule="exact" w:val="356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92,24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Remanejamento de ligação de água de ¾” inferior a 2 metros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195,39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Remanejamento de ligação de água de ¾” superior a 2 metros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758,19 </w:t>
            </w:r>
          </w:p>
        </w:tc>
      </w:tr>
      <w:tr>
        <w:trPr>
          <w:trHeight w:hRule="exact" w:val="60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  <w:tr>
        <w:trPr>
          <w:trHeight w:hRule="exact" w:val="596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2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262" w:lineRule="auto" w:before="28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238 – 02/05/2018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98" w:after="0"/>
        <w:ind w:left="29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238, DE 02 DE MAIO DE 2018</w:t>
      </w:r>
    </w:p>
    <w:p>
      <w:pPr>
        <w:autoSpaceDN w:val="0"/>
        <w:autoSpaceDE w:val="0"/>
        <w:widowControl/>
        <w:spacing w:line="271" w:lineRule="auto" w:before="250" w:after="0"/>
        <w:ind w:left="0" w:right="53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71" w:lineRule="auto" w:before="254" w:after="274"/>
        <w:ind w:left="22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PARCELA RELATIVA AO GRAU POLUENTE DO EFLUENTE, EM R$/KG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0442"/>
      </w:tblGrid>
      <w:tr>
        <w:trPr>
          <w:trHeight w:hRule="exact" w:val="596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</w:p>
        </w:tc>
      </w:tr>
      <w:tr>
        <w:trPr>
          <w:trHeight w:hRule="exact" w:val="594"/>
        </w:trPr>
        <w:tc>
          <w:tcPr>
            <w:tcW w:type="dxa" w:w="90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552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ETG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Equação Tarifária Geral, em R$/Kg </w:t>
            </w:r>
          </w:p>
        </w:tc>
      </w:tr>
      <w:tr>
        <w:trPr>
          <w:trHeight w:hRule="exact" w:val="600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94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96"/>
        </w:trPr>
        <w:tc>
          <w:tcPr>
            <w:tcW w:type="dxa" w:w="90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90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08" w:right="4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relação ao previsto na presente norma, em Kgl/m3,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</w:t>
            </w:r>
          </w:p>
        </w:tc>
      </w:tr>
      <w:tr>
        <w:trPr>
          <w:trHeight w:hRule="exact" w:val="886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08" w:right="4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(Sólidos Suspensos Totais):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 presente norma, em Kg/m3,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92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08" w:right="4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(Substâncias inibidoras e Tóxicas ao processo de tratamento):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 (Kg/m3)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tabs>
          <w:tab w:pos="1692" w:val="left"/>
        </w:tabs>
        <w:autoSpaceDE w:val="0"/>
        <w:widowControl/>
        <w:spacing w:line="252" w:lineRule="auto" w:before="468" w:after="0"/>
        <w:ind w:left="1636" w:right="53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TRE: Taxa Referencial de Esgoto dada em R$/kg. </w:t>
      </w:r>
    </w:p>
    <w:p>
      <w:pPr>
        <w:autoSpaceDN w:val="0"/>
        <w:autoSpaceDE w:val="0"/>
        <w:widowControl/>
        <w:spacing w:line="252" w:lineRule="auto" w:before="0" w:after="0"/>
        <w:ind w:left="1636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DQO: Demanda Química de Oxigênio.</w:t>
      </w:r>
    </w:p>
    <w:p>
      <w:pPr>
        <w:autoSpaceDN w:val="0"/>
        <w:tabs>
          <w:tab w:pos="10208" w:val="left"/>
        </w:tabs>
        <w:autoSpaceDE w:val="0"/>
        <w:widowControl/>
        <w:spacing w:line="262" w:lineRule="auto" w:before="38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238 – 02/05/2018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12" w:right="24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