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901700" cy="7277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52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317, DE 31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245" w:lineRule="auto" w:before="256" w:after="0"/>
        <w:ind w:left="5668" w:right="136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Itu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268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>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271" w:lineRule="auto" w:before="26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25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01/2017, pelo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Itu delegou o exercício das competências municipais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da prestação dos serviços públicos de saneamento básico à Agência Reguladora PCJ (ARES-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PCJ); </w:t>
      </w:r>
    </w:p>
    <w:p>
      <w:pPr>
        <w:autoSpaceDN w:val="0"/>
        <w:autoSpaceDE w:val="0"/>
        <w:widowControl/>
        <w:spacing w:line="247" w:lineRule="auto" w:before="266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CIS – Companhia Ituana de Saneamento, em conformidade com a Resolução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115, de 17/12/2015, solicitou reajuste dos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prestados no Município de Itu; </w:t>
      </w:r>
    </w:p>
    <w:p>
      <w:pPr>
        <w:autoSpaceDN w:val="0"/>
        <w:autoSpaceDE w:val="0"/>
        <w:widowControl/>
        <w:spacing w:line="245" w:lineRule="auto" w:before="266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38/2019-CRBG, emitiu parecer favorável ao reajuste,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26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Itu, instituído pelo Decreto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1.914/2017 e seus membros nomeados pela Portaria nº 709/2019, de 17/09/2019,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>no dia 30 de outubro de 2019, analisou e aprovou o conteúdo do Parecer Consolidado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38/2019-CRBG, inclusive os índices propostos de reajuste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e dos Preços Públicos dos Demais Serviços prestados e praticados pela CIS; e </w:t>
      </w:r>
    </w:p>
    <w:p>
      <w:pPr>
        <w:autoSpaceDN w:val="0"/>
        <w:autoSpaceDE w:val="0"/>
        <w:widowControl/>
        <w:spacing w:line="250" w:lineRule="auto" w:before="26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Itu, a Diretoria Executiva da ARES-PCJ, reunida em 30 de outubro de 2019; </w:t>
      </w:r>
    </w:p>
    <w:p>
      <w:pPr>
        <w:autoSpaceDN w:val="0"/>
        <w:autoSpaceDE w:val="0"/>
        <w:widowControl/>
        <w:spacing w:line="274" w:lineRule="auto" w:before="26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7" w:lineRule="auto" w:before="254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pela CIS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Ituana de Saneamento, em 6,40% (seis inteiros e quarenta centésimos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no Anexo I desta Resolução. </w:t>
      </w:r>
    </w:p>
    <w:p>
      <w:pPr>
        <w:autoSpaceDN w:val="0"/>
        <w:tabs>
          <w:tab w:pos="10204" w:val="left"/>
        </w:tabs>
        <w:autoSpaceDE w:val="0"/>
        <w:widowControl/>
        <w:spacing w:line="264" w:lineRule="auto" w:before="5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317 – 31/10/2019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901700" cy="7277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auto" w:before="53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dezembro de 2019. </w:t>
      </w:r>
    </w:p>
    <w:p>
      <w:pPr>
        <w:autoSpaceDN w:val="0"/>
        <w:autoSpaceDE w:val="0"/>
        <w:widowControl/>
        <w:spacing w:line="247" w:lineRule="auto" w:before="268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Autorizar a CIS - Companhia Ituana de Saneamento, praticar novas Tarifas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da entrada em operação da ETE – Estação de Tratamento de Esgoto Pirajibú, passando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equivalência dos atuais 80% (oitenta por cento) para 100% (cem por cento) dos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Água, ora reajustados. </w:t>
      </w:r>
    </w:p>
    <w:p>
      <w:pPr>
        <w:autoSpaceDN w:val="0"/>
        <w:autoSpaceDE w:val="0"/>
        <w:widowControl/>
        <w:spacing w:line="252" w:lineRule="auto" w:before="26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Fixar os novos valores das Tarifas de Água e Esgoto praticadas pela CIS - Companhia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Ituana de Saneamento, conforme apresentado na Tabela 1, do Anexo I desta Resolução. </w:t>
      </w:r>
    </w:p>
    <w:p>
      <w:pPr>
        <w:autoSpaceDN w:val="0"/>
        <w:autoSpaceDE w:val="0"/>
        <w:widowControl/>
        <w:spacing w:line="247" w:lineRule="auto" w:before="266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Alterar os atuais valores dos Preços Públicos dos Demais Serviços praticados pela CIS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Companhia Ituana de Saneamento, que passam a vigorar com base em nova composição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custos validada pela ARES-PCJ, conforme apresentado na Tabela 1, do Anexo II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64" w:lineRule="auto" w:before="26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serão aplicados a partir de dezembro de 2019. </w:t>
      </w:r>
    </w:p>
    <w:p>
      <w:pPr>
        <w:autoSpaceDN w:val="0"/>
        <w:autoSpaceDE w:val="0"/>
        <w:widowControl/>
        <w:spacing w:line="247" w:lineRule="auto" w:before="266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Fixar os novos valores dos Preços Públicos dos Demais Serviços praticados pela CIS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Ituana de Saneamento, conforme apresentado na Tabela 1, do Anexo II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266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divulgação, a CIS - Companhia Ituana de Saneamento,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Públicos dos Demais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nesta Resolução, em local de fácil acesso, em seu sítio na Internet e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mensagens em suas Contas/Faturas. </w:t>
      </w:r>
    </w:p>
    <w:p>
      <w:pPr>
        <w:autoSpaceDN w:val="0"/>
        <w:autoSpaceDE w:val="0"/>
        <w:widowControl/>
        <w:spacing w:line="245" w:lineRule="auto" w:before="266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 estabelecidos nesta Resolução somente serão praticados pela CIS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Ituana de Saneamento, após 30 (trinta) dias da publicação desta Resolução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oficial, ou em jornal de circulação no Município de Itu, conforme determina o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39, da Lei Federal nº 11.445/2007, respeitando o período mínimo de 12 (doze) meses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último reajuste tarifário. </w:t>
      </w:r>
    </w:p>
    <w:p>
      <w:pPr>
        <w:autoSpaceDN w:val="0"/>
        <w:autoSpaceDE w:val="0"/>
        <w:widowControl/>
        <w:spacing w:line="245" w:lineRule="auto" w:before="264" w:after="0"/>
        <w:ind w:left="1416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CIS – Companhia Ituana de Saneamento,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ora reajustados, obedecido o prazo estabelecido no caput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262" w:lineRule="auto" w:before="2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59" w:lineRule="auto" w:before="848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04" w:val="left"/>
        </w:tabs>
        <w:autoSpaceDE w:val="0"/>
        <w:widowControl/>
        <w:spacing w:line="264" w:lineRule="auto" w:before="57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317 – 31/10/2019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901700" cy="7277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3" w:lineRule="auto" w:before="528" w:after="0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317, DE 31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48"/>
        </w:trPr>
        <w:tc>
          <w:tcPr>
            <w:tcW w:type="dxa" w:w="8508"/>
            <w:gridSpan w:val="5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548"/>
        </w:trPr>
        <w:tc>
          <w:tcPr>
            <w:tcW w:type="dxa" w:w="226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8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9,18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7,34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16,52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1,08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0,86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1,94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1,64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1,31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2,95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1,64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1,31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2,95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1,97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1,58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3,55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8508"/>
            <w:gridSpan w:val="5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544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8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22,96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18,37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41,33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2,70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2,16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4,86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4,12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3,30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7,42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4,12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3,30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7,42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4,93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3,94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8,87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48"/>
        </w:trPr>
        <w:tc>
          <w:tcPr>
            <w:tcW w:type="dxa" w:w="8508"/>
            <w:gridSpan w:val="5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548"/>
        </w:trPr>
        <w:tc>
          <w:tcPr>
            <w:tcW w:type="dxa" w:w="226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7276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7276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8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7276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46,15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36,92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83,07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4,58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3,66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8,24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7,44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5,95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13,39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7,44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5,95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13,39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8,72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6,98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15,70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8508"/>
            <w:gridSpan w:val="5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548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8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46,15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36,92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83,07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4,58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3,66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8,24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7,44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5,95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13,39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7,44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5,95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13,39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8,72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6,98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15,70 </w:t>
            </w:r>
          </w:p>
        </w:tc>
      </w:tr>
    </w:tbl>
    <w:p>
      <w:pPr>
        <w:autoSpaceDN w:val="0"/>
        <w:tabs>
          <w:tab w:pos="10204" w:val="left"/>
        </w:tabs>
        <w:autoSpaceDE w:val="0"/>
        <w:widowControl/>
        <w:spacing w:line="264" w:lineRule="auto" w:before="46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317 – 31/10/2019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5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901700" cy="7277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8508"/>
            <w:gridSpan w:val="5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PÚBLICA </w:t>
            </w:r>
          </w:p>
        </w:tc>
      </w:tr>
      <w:tr>
        <w:trPr>
          <w:trHeight w:hRule="exact" w:val="548"/>
        </w:trPr>
        <w:tc>
          <w:tcPr>
            <w:tcW w:type="dxa" w:w="226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8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34,61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27,69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62,30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3,44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2,75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6,19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5,59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4,47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10,06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5,59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4,47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10,06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6,54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5,23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11,77 </w:t>
            </w:r>
          </w:p>
        </w:tc>
      </w:tr>
    </w:tbl>
    <w:p>
      <w:pPr>
        <w:autoSpaceDN w:val="0"/>
        <w:autoSpaceDE w:val="0"/>
        <w:widowControl/>
        <w:spacing w:line="2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48"/>
        </w:trPr>
        <w:tc>
          <w:tcPr>
            <w:tcW w:type="dxa" w:w="8508"/>
            <w:gridSpan w:val="5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PÚBLICA MNICIPAL </w:t>
            </w:r>
          </w:p>
        </w:tc>
      </w:tr>
      <w:tr>
        <w:trPr>
          <w:trHeight w:hRule="exact" w:val="548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8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17,31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13,85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31,15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1,72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1,38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3,10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2,80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2,24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5,03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2,80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2,24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5,03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3,27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2,62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5,89 </w:t>
            </w:r>
          </w:p>
        </w:tc>
      </w:tr>
    </w:tbl>
    <w:p>
      <w:pPr>
        <w:autoSpaceDN w:val="0"/>
        <w:autoSpaceDE w:val="0"/>
        <w:widowControl/>
        <w:spacing w:line="271" w:lineRule="auto" w:before="24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Obs.1: Os valores das Tarifas de Esgoto correspondem a 80% dos valores das Tarifas de Água. </w:t>
      </w:r>
    </w:p>
    <w:p>
      <w:pPr>
        <w:autoSpaceDN w:val="0"/>
        <w:autoSpaceDE w:val="0"/>
        <w:widowControl/>
        <w:spacing w:line="271" w:lineRule="auto" w:before="2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Obs.2: Após o início da operação da ETE Pirajibú, mediante anuência da ARES-PCJ, o valor da Tarifa </w:t>
      </w:r>
    </w:p>
    <w:p>
      <w:pPr>
        <w:autoSpaceDN w:val="0"/>
        <w:autoSpaceDE w:val="0"/>
        <w:widowControl/>
        <w:spacing w:line="271" w:lineRule="auto" w:before="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de Esgoto se igualará ao valor da Tarifa de Água, em todas categorias e faixas de consumo. </w:t>
      </w:r>
    </w:p>
    <w:p>
      <w:pPr>
        <w:autoSpaceDN w:val="0"/>
        <w:tabs>
          <w:tab w:pos="10204" w:val="left"/>
        </w:tabs>
        <w:autoSpaceDE w:val="0"/>
        <w:widowControl/>
        <w:spacing w:line="264" w:lineRule="auto" w:before="651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317 – 31/10/2019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901700" cy="7277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53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50" w:lineRule="auto" w:before="254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1) Tarifa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como nos exemplos abaixo, com consumos de até 10 m³ e de 15 m³: </w:t>
      </w:r>
    </w:p>
    <w:p>
      <w:pPr>
        <w:autoSpaceDN w:val="0"/>
        <w:autoSpaceDE w:val="0"/>
        <w:widowControl/>
        <w:spacing w:line="252" w:lineRule="auto" w:before="262" w:after="0"/>
        <w:ind w:left="2268" w:right="48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Mínima = </w:t>
      </w:r>
      <w:r>
        <w:rPr>
          <w:rFonts w:ascii="Calibri" w:hAnsi="Calibri" w:eastAsia="Calibri"/>
          <w:b/>
          <w:i/>
          <w:color w:val="000000"/>
          <w:sz w:val="24"/>
          <w:u w:val="single"/>
        </w:rPr>
        <w:t>R$ 22,96</w:t>
      </w:r>
    </w:p>
    <w:p>
      <w:pPr>
        <w:autoSpaceDN w:val="0"/>
        <w:autoSpaceDE w:val="0"/>
        <w:widowControl/>
        <w:spacing w:line="250" w:lineRule="auto" w:before="260" w:after="0"/>
        <w:ind w:left="2268" w:right="244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R$ 22,96) + (5 m³ x R$ 2,70 = R$ 13,50)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R$ 22,96 + R$ 13,50 = </w:t>
      </w:r>
      <w:r>
        <w:rPr>
          <w:rFonts w:ascii="Calibri" w:hAnsi="Calibri" w:eastAsia="Calibri"/>
          <w:b/>
          <w:i/>
          <w:color w:val="000000"/>
          <w:sz w:val="24"/>
        </w:rPr>
        <w:t xml:space="preserve">R$ 36,46 </w:t>
      </w:r>
    </w:p>
    <w:p>
      <w:pPr>
        <w:autoSpaceDN w:val="0"/>
        <w:autoSpaceDE w:val="0"/>
        <w:widowControl/>
        <w:spacing w:line="252" w:lineRule="auto" w:before="260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2) Tarifa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80% (oitenta por </w:t>
      </w:r>
      <w:r>
        <w:rPr>
          <w:rFonts w:ascii="Calibri" w:hAnsi="Calibri" w:eastAsia="Calibri"/>
          <w:b/>
          <w:i w:val="0"/>
          <w:color w:val="000000"/>
          <w:sz w:val="24"/>
        </w:rPr>
        <w:t>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das Tarifas de Água, observadas as mesmas categorias e faixas de consumo. </w:t>
      </w:r>
    </w:p>
    <w:p>
      <w:pPr>
        <w:autoSpaceDN w:val="0"/>
        <w:autoSpaceDE w:val="0"/>
        <w:widowControl/>
        <w:spacing w:line="254" w:lineRule="auto" w:before="250" w:after="0"/>
        <w:ind w:left="2268" w:right="48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Mínima = </w:t>
      </w:r>
      <w:r>
        <w:rPr>
          <w:rFonts w:ascii="Calibri" w:hAnsi="Calibri" w:eastAsia="Calibri"/>
          <w:b/>
          <w:i/>
          <w:color w:val="000000"/>
          <w:sz w:val="24"/>
        </w:rPr>
        <w:t>R$ 18,37</w:t>
      </w:r>
    </w:p>
    <w:p>
      <w:pPr>
        <w:autoSpaceDN w:val="0"/>
        <w:autoSpaceDE w:val="0"/>
        <w:widowControl/>
        <w:spacing w:line="250" w:lineRule="auto" w:before="260" w:after="0"/>
        <w:ind w:left="2268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R$ 18,37) + (5 m³ x R$ 2,16 = R$ 10,80)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R$ 18,37 + R$ 10,80 = </w:t>
      </w:r>
      <w:r>
        <w:rPr>
          <w:rFonts w:ascii="Calibri" w:hAnsi="Calibri" w:eastAsia="Calibri"/>
          <w:b/>
          <w:i/>
          <w:color w:val="000000"/>
          <w:sz w:val="24"/>
        </w:rPr>
        <w:t xml:space="preserve">R$ 29,17 </w:t>
      </w:r>
    </w:p>
    <w:p>
      <w:pPr>
        <w:autoSpaceDN w:val="0"/>
        <w:autoSpaceDE w:val="0"/>
        <w:widowControl/>
        <w:spacing w:line="252" w:lineRule="auto" w:before="260" w:after="0"/>
        <w:ind w:left="1416" w:right="53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3) Tarifa Total = Tarifa de Água + Tarifa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Somatória da Tarifa de Água com a Tarifa de Esgoto.</w:t>
      </w:r>
    </w:p>
    <w:p>
      <w:pPr>
        <w:autoSpaceDN w:val="0"/>
        <w:autoSpaceDE w:val="0"/>
        <w:widowControl/>
        <w:spacing w:line="247" w:lineRule="auto" w:before="262" w:after="0"/>
        <w:ind w:left="2268" w:right="50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Tarifa de Água + Tarifa de Esgoto </w:t>
      </w:r>
      <w:r>
        <w:br/>
      </w:r>
      <w:r>
        <w:rPr>
          <w:rFonts w:ascii="Calibri" w:hAnsi="Calibri" w:eastAsia="Calibri"/>
          <w:b/>
          <w:i/>
          <w:color w:val="000000"/>
          <w:sz w:val="24"/>
        </w:rPr>
        <w:t xml:space="preserve">Tarifa Total = R$ 22,96 + R$ 18,37 = R$ 41,33 </w:t>
      </w:r>
    </w:p>
    <w:p>
      <w:pPr>
        <w:autoSpaceDN w:val="0"/>
        <w:autoSpaceDE w:val="0"/>
        <w:widowControl/>
        <w:spacing w:line="247" w:lineRule="auto" w:before="264" w:after="0"/>
        <w:ind w:left="2268" w:right="50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Tarifa de Água + Tarifa de Esgoto </w:t>
      </w:r>
      <w:r>
        <w:br/>
      </w:r>
      <w:r>
        <w:rPr>
          <w:rFonts w:ascii="Calibri" w:hAnsi="Calibri" w:eastAsia="Calibri"/>
          <w:b/>
          <w:i/>
          <w:color w:val="000000"/>
          <w:sz w:val="24"/>
        </w:rPr>
        <w:t xml:space="preserve">Tarifa Total = R$ 36,46 + R$ 29,17 = R$ 65,63 </w:t>
      </w:r>
    </w:p>
    <w:p>
      <w:pPr>
        <w:autoSpaceDN w:val="0"/>
        <w:tabs>
          <w:tab w:pos="10204" w:val="left"/>
        </w:tabs>
        <w:autoSpaceDE w:val="0"/>
        <w:widowControl/>
        <w:spacing w:line="264" w:lineRule="auto" w:before="351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317 – 31/10/2019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901700" cy="7277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7" w:lineRule="auto" w:before="528" w:after="0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317, DE 31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274" w:lineRule="auto" w:before="2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TABELA 1 – VALORES DOS PREÇ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OS PÚBLICOS DOS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2257"/>
        <w:gridCol w:w="2257"/>
        <w:gridCol w:w="2257"/>
        <w:gridCol w:w="2257"/>
      </w:tblGrid>
      <w:tr>
        <w:trPr>
          <w:trHeight w:hRule="exact" w:val="580"/>
        </w:trPr>
        <w:tc>
          <w:tcPr>
            <w:tcW w:type="dxa" w:w="4328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4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748"/>
            <w:vMerge w:val="restart"/>
            <w:tcBorders>
              <w:start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4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996"/>
            <w:gridSpan w:val="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Preço Unitário (R$/unid) </w:t>
            </w:r>
          </w:p>
        </w:tc>
      </w:tr>
      <w:tr>
        <w:trPr>
          <w:trHeight w:hRule="exact" w:val="576"/>
        </w:trPr>
        <w:tc>
          <w:tcPr>
            <w:tcW w:type="dxa" w:w="2257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2257"/>
            <w:vMerge/>
            <w:tcBorders>
              <w:start w:sz="3.199999999999818" w:val="single" w:color="#000000"/>
              <w:end w:sz="3.200000000000273" w:val="single" w:color="#000000"/>
              <w:bottom w:sz="3.2000000000000455" w:val="single" w:color="#000000"/>
            </w:tcBorders>
          </w:tcPr>
          <w:p/>
        </w:tc>
        <w:tc>
          <w:tcPr>
            <w:tcW w:type="dxa" w:w="149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576"/>
        </w:trPr>
        <w:tc>
          <w:tcPr>
            <w:tcW w:type="dxa" w:w="432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66"/>
              <w:gridCol w:w="866"/>
              <w:gridCol w:w="866"/>
              <w:gridCol w:w="866"/>
              <w:gridCol w:w="866"/>
            </w:tblGrid>
            <w:tr>
              <w:trPr>
                <w:trHeight w:hRule="exact" w:val="284"/>
              </w:trPr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por 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método </w:t>
                  </w:r>
                </w:p>
              </w:tc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DESTRUTIVO </w:t>
                  </w:r>
                </w:p>
              </w:tc>
              <w:tc>
                <w:tcPr>
                  <w:tcW w:type="dxa" w:w="4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em 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382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PVC/FF/CERAMICA e PEAD. </w:t>
                  </w:r>
                </w:p>
              </w:tc>
              <w:tc>
                <w:tcPr>
                  <w:tcW w:type="dxa" w:w="866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4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9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471,21 </w:t>
            </w:r>
          </w:p>
        </w:tc>
        <w:tc>
          <w:tcPr>
            <w:tcW w:type="dxa" w:w="15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741,80 </w:t>
            </w:r>
          </w:p>
        </w:tc>
      </w:tr>
      <w:tr>
        <w:trPr>
          <w:trHeight w:hRule="exact" w:val="576"/>
        </w:trPr>
        <w:tc>
          <w:tcPr>
            <w:tcW w:type="dxa" w:w="432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por método não destrutivo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(M.N.D) em rede PVC e FF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9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338,62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32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por método não destrutivo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(M.N.D) em rede PEAD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9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388,52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432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adicional de rede até 6 m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>(1)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  <w:tc>
          <w:tcPr>
            <w:tcW w:type="dxa" w:w="149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106,00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263,29 </w:t>
            </w:r>
          </w:p>
        </w:tc>
      </w:tr>
      <w:tr>
        <w:trPr>
          <w:trHeight w:hRule="exact" w:val="576"/>
        </w:trPr>
        <w:tc>
          <w:tcPr>
            <w:tcW w:type="dxa" w:w="432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Corte/Supressão de ligação no cavalete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pedido do usuário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9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67,14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432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Corte/Supressão de ligação no ramal/passeio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pedido do usuário </w:t>
            </w:r>
          </w:p>
        </w:tc>
        <w:tc>
          <w:tcPr>
            <w:tcW w:type="dxa" w:w="17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9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95,62 </w:t>
            </w:r>
          </w:p>
        </w:tc>
        <w:tc>
          <w:tcPr>
            <w:tcW w:type="dxa" w:w="15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32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Suspensão temporária de abastecimento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a pedido do usuário </w:t>
            </w:r>
          </w:p>
        </w:tc>
        <w:tc>
          <w:tcPr>
            <w:tcW w:type="dxa" w:w="17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9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135,48 </w:t>
            </w:r>
          </w:p>
        </w:tc>
        <w:tc>
          <w:tcPr>
            <w:tcW w:type="dxa" w:w="15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432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Fornecimento, conserto ou substituição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até Q. máx. = 3m³/h </w:t>
            </w:r>
          </w:p>
        </w:tc>
        <w:tc>
          <w:tcPr>
            <w:tcW w:type="dxa" w:w="17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9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87,86 </w:t>
            </w:r>
          </w:p>
        </w:tc>
        <w:tc>
          <w:tcPr>
            <w:tcW w:type="dxa" w:w="15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432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9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45,92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432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e instalação de hidrômetro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violado ou danificado ou por motivo de furto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9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85,12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32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devido ao corte no cavelete ou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9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69,93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432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por caminhão pipa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9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10,08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432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Recebimento de esgoto de fossas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9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10,08  </w:t>
            </w:r>
          </w:p>
        </w:tc>
      </w:tr>
      <w:tr>
        <w:trPr>
          <w:trHeight w:hRule="exact" w:val="576"/>
        </w:trPr>
        <w:tc>
          <w:tcPr>
            <w:tcW w:type="dxa" w:w="432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Recebimento de conta fora do sistema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conta </w:t>
            </w:r>
          </w:p>
        </w:tc>
        <w:tc>
          <w:tcPr>
            <w:tcW w:type="dxa" w:w="149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1,98 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580"/>
        </w:trPr>
        <w:tc>
          <w:tcPr>
            <w:tcW w:type="dxa" w:w="432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Análises laboratoriais solicitadas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>(2)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9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19,95 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816"/>
        </w:trPr>
        <w:tc>
          <w:tcPr>
            <w:tcW w:type="dxa" w:w="432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52" w:val="left"/>
              </w:tabs>
              <w:autoSpaceDE w:val="0"/>
              <w:widowControl/>
              <w:spacing w:line="247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de projeto de loteamento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conjunto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habitacional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(residencial/comercial/industrial)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9,99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  9,99 </w:t>
            </w:r>
          </w:p>
        </w:tc>
      </w:tr>
      <w:tr>
        <w:trPr>
          <w:trHeight w:hRule="exact" w:val="572"/>
        </w:trPr>
        <w:tc>
          <w:tcPr>
            <w:tcW w:type="dxa" w:w="4328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Revisão de projetos para empreendimentos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residenciais/comerciais/industriais </w:t>
            </w:r>
          </w:p>
        </w:tc>
        <w:tc>
          <w:tcPr>
            <w:tcW w:type="dxa" w:w="1748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lote/apartamento </w:t>
            </w:r>
          </w:p>
        </w:tc>
        <w:tc>
          <w:tcPr>
            <w:tcW w:type="dxa" w:w="1496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 9,68 </w:t>
            </w:r>
          </w:p>
        </w:tc>
        <w:tc>
          <w:tcPr>
            <w:tcW w:type="dxa" w:w="150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  9,68 </w:t>
            </w:r>
          </w:p>
        </w:tc>
      </w:tr>
    </w:tbl>
    <w:p>
      <w:pPr>
        <w:autoSpaceDN w:val="0"/>
        <w:tabs>
          <w:tab w:pos="10204" w:val="left"/>
        </w:tabs>
        <w:autoSpaceDE w:val="0"/>
        <w:widowControl/>
        <w:spacing w:line="264" w:lineRule="auto" w:before="81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317 – 31/10/2019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5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901700" cy="7277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2257"/>
        <w:gridCol w:w="2257"/>
        <w:gridCol w:w="2257"/>
        <w:gridCol w:w="2257"/>
      </w:tblGrid>
      <w:tr>
        <w:trPr>
          <w:trHeight w:hRule="exact" w:val="816"/>
        </w:trPr>
        <w:tc>
          <w:tcPr>
            <w:tcW w:type="dxa" w:w="4328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68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de entrega de empreendimento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residencial, industrial e/ou comercial, a partir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 segunda inspeção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vistoria </w:t>
            </w:r>
          </w:p>
        </w:tc>
        <w:tc>
          <w:tcPr>
            <w:tcW w:type="dxa" w:w="1496"/>
            <w:tcBorders>
              <w:start w:sz="3.200000000000273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243,87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243,87 </w:t>
            </w:r>
          </w:p>
        </w:tc>
      </w:tr>
      <w:tr>
        <w:trPr>
          <w:trHeight w:hRule="exact" w:val="576"/>
        </w:trPr>
        <w:tc>
          <w:tcPr>
            <w:tcW w:type="dxa" w:w="432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Elaboração de Diretriz para empreendimentos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residenciais, comerciais/industriais </w:t>
            </w:r>
          </w:p>
        </w:tc>
        <w:tc>
          <w:tcPr>
            <w:tcW w:type="dxa" w:w="174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diretriz </w:t>
            </w:r>
          </w:p>
        </w:tc>
        <w:tc>
          <w:tcPr>
            <w:tcW w:type="dxa" w:w="149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658,35 </w:t>
            </w:r>
          </w:p>
        </w:tc>
        <w:tc>
          <w:tcPr>
            <w:tcW w:type="dxa" w:w="15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658,35 </w:t>
            </w:r>
          </w:p>
        </w:tc>
      </w:tr>
      <w:tr>
        <w:trPr>
          <w:trHeight w:hRule="exact" w:val="1084"/>
        </w:trPr>
        <w:tc>
          <w:tcPr>
            <w:tcW w:type="dxa" w:w="432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68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Revisão de Diretriz de empreendimento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residencial, comercial ou industrial no caso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alteração de projeto e/ou proprietário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empreendimento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diretriz </w:t>
            </w:r>
          </w:p>
        </w:tc>
        <w:tc>
          <w:tcPr>
            <w:tcW w:type="dxa" w:w="149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658,35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658,35 </w:t>
            </w:r>
          </w:p>
        </w:tc>
      </w:tr>
      <w:tr>
        <w:trPr>
          <w:trHeight w:hRule="exact" w:val="1624"/>
        </w:trPr>
        <w:tc>
          <w:tcPr>
            <w:tcW w:type="dxa" w:w="432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68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técnica solicitada pelo usuário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proprietário do imóvel, quando improdutiva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(ocorre quando uma visita é realizada sem que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houvesse necessidade ou um serviço deixa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 executado por ausência, omissão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negligência do ciente durante o atendimento) </w:t>
            </w:r>
          </w:p>
        </w:tc>
        <w:tc>
          <w:tcPr>
            <w:tcW w:type="dxa" w:w="174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9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29,52  </w:t>
            </w:r>
          </w:p>
        </w:tc>
        <w:tc>
          <w:tcPr>
            <w:tcW w:type="dxa" w:w="15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29,52  </w:t>
            </w:r>
          </w:p>
        </w:tc>
      </w:tr>
      <w:tr>
        <w:trPr>
          <w:trHeight w:hRule="exact" w:val="576"/>
        </w:trPr>
        <w:tc>
          <w:tcPr>
            <w:tcW w:type="dxa" w:w="432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até 1m </w:t>
            </w:r>
          </w:p>
        </w:tc>
        <w:tc>
          <w:tcPr>
            <w:tcW w:type="dxa" w:w="17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9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108,75 </w:t>
            </w:r>
          </w:p>
        </w:tc>
        <w:tc>
          <w:tcPr>
            <w:tcW w:type="dxa" w:w="15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432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até 10m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9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267,15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32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acima de 10 m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9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388,23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2"/>
        </w:trPr>
        <w:tc>
          <w:tcPr>
            <w:tcW w:type="dxa" w:w="432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Manutenção de caixa no passeio, troca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tampa ou limpeza </w:t>
            </w:r>
          </w:p>
        </w:tc>
        <w:tc>
          <w:tcPr>
            <w:tcW w:type="dxa" w:w="17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9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185,52   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</w:t>
            </w:r>
          </w:p>
        </w:tc>
      </w:tr>
    </w:tbl>
    <w:p>
      <w:pPr>
        <w:autoSpaceDN w:val="0"/>
        <w:autoSpaceDE w:val="0"/>
        <w:widowControl/>
        <w:spacing w:line="274" w:lineRule="auto" w:before="53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(1) Para redes de comprimento maior do que 6 m, consultar o prestador. </w:t>
      </w:r>
    </w:p>
    <w:p>
      <w:pPr>
        <w:autoSpaceDN w:val="0"/>
        <w:autoSpaceDE w:val="0"/>
        <w:widowControl/>
        <w:spacing w:line="274" w:lineRule="auto" w:before="14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(2) Acrescido o custo de serviços de laboratório. </w:t>
      </w:r>
    </w:p>
    <w:p>
      <w:pPr>
        <w:autoSpaceDN w:val="0"/>
        <w:tabs>
          <w:tab w:pos="10204" w:val="left"/>
        </w:tabs>
        <w:autoSpaceDE w:val="0"/>
        <w:widowControl/>
        <w:spacing w:line="264" w:lineRule="auto" w:before="57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317 – 31/10/2019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14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