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25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320, DE 08 DE NOVEMBRO DE 2019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934" w:after="30"/>
        <w:ind w:left="0" w:right="1086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hRule="exact" w:val="294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4" w:after="0"/>
        <w:ind w:left="5670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do Município de Iracemápolis e dá outras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normas-*//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especial nos artigos 45 e 46, delimitam a forma e a obrigação dos prestadores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em editar Regulamento de Prestação de Serviços visando a divulgação do padrão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 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Município de Iracemápolis – SP, através do Serviço de Água e Esgoto de Iracemápolis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>SAE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responsável pelos serviços de abastecimento de água e esgotamento sanitário do município,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conformidade com a Resolução ARES-PCJ nº 50/2014, e suas alterações, solicitou análise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seu Regulamento que 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da Nota Técnica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>29/2019</w:t>
      </w:r>
      <w:r>
        <w:rPr>
          <w:rFonts w:ascii="Calibri" w:hAnsi="Calibri" w:eastAsia="Calibri"/>
          <w:b w:val="0"/>
          <w:i w:val="0"/>
          <w:color w:val="000000"/>
          <w:sz w:val="24"/>
        </w:rPr>
        <w:t>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do Município de Iracemápolis – SAE </w:t>
      </w:r>
      <w:r>
        <w:rPr>
          <w:rFonts w:ascii="Calibri" w:hAnsi="Calibri" w:eastAsia="Calibri"/>
          <w:b w:val="0"/>
          <w:i w:val="0"/>
          <w:color w:val="000000"/>
          <w:sz w:val="24"/>
        </w:rPr>
        <w:t>atende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conteúdo mínimo estabelecido pela Resolução ARES-PCJ nº 50/2014, cumprindo todas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22 de outubro de 2019;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29/2019,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públicos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e atendimento aos usuários do Município de Iracemápolis, cujo conteúdo em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íntegra 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pelos usuários usuário,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Iracemápolis – SAE,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deverá disponibilizar nos locais de atendimento e em locais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fácil 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acesso, bem como em seu sítio eletrônico ou em outros meios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comunicações, o Regulamento ora homologado, conforme preconiza o art. 46,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50/2014, para imediata aplicação.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516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77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5218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748" w:after="0"/>
        <w:ind w:left="149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DE PROCEDIMENTOS, CONTAS E SERVIÇOS PÚBLICOS DE ÁGUA </w:t>
      </w:r>
    </w:p>
    <w:p>
      <w:pPr>
        <w:autoSpaceDN w:val="0"/>
        <w:autoSpaceDE w:val="0"/>
        <w:widowControl/>
        <w:spacing w:line="197" w:lineRule="auto" w:before="60" w:after="0"/>
        <w:ind w:left="0" w:right="3714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E ESGOTO DE IRACEMÁPOLIS – SAE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181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40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DE PROCEDIMENTOS, CONTAS E SERVIÇOS PÚBLICOS DE ÁGUA E ESGOTO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IRACEMÁPOLIS – SAE </w:t>
      </w:r>
    </w:p>
    <w:p>
      <w:pPr>
        <w:autoSpaceDN w:val="0"/>
        <w:autoSpaceDE w:val="0"/>
        <w:widowControl/>
        <w:spacing w:line="245" w:lineRule="auto" w:before="34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245" w:lineRule="auto" w:before="348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Os serviços prestados pelo Serviço de Água e Esgotos de Iracemápolis-SAE, serão cobrados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preços públicos e tarifas na forma prevista em Resolução específica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 sobre o tema.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– Adotam – se no âmbito do Serviço de Água e Esgoto (SAE) as seguintes definições: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Serviços públicos de abastecimento de água: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Abrigo ou padrão: local (reservado pelo proprietário/usuário) ou caixa padronizada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(distribuída ou aprovada pelo prestador de serviço) para instalação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Adutora: canalização e/ou tubulação principal de um sistema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geralmente entre a captação e a estação de tratamento (ETA), ou entre esta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de distribuição ou setores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Aferição do hidrômetro: verificação das vazões e volumes indicados pelo medidor 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condições de operação estabelecidas na legislação metrológica.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Água bruta: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Água potável: água cujos parâmetros microbiológicos, físicos, químicos e radioativos atendam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padrões de potabilidade, definidos pelo Ministério da Saúde;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Água tratada: água submetida a tratamento prévio, através de processos físicos, químicos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biológicos de tratamento, com a finalidade de torná-la apropriada ao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Captação: local de retirada de água bruta, superficial ou subterrânea, que abriga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bombas de recalque;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Cavalete: conjunto padronizado de tubulações e conexões, ligado ao ramal predial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 à instalação do hidrômetro, sendo considerado como o ponto de entrega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no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Controle da qualidade da água para consumo humano: conjunto de atividades exercidas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contínua pelos responsáveis pela operação de sistema ou solução alternativa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destinadas a verificar se a água fornecida à população é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assegurando a manutenção desta condição;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Elevatória de água: conjunto de tubulações, equipamentos e dispositivos destinados à elevação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Estação de Tratamento de Água (ETA): unidade composta de equipamentos, tubulações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instrumentos onde são processadas todas as atividades para tornar a água bruta captada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tratada, própria para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Hidrômetro: equipamento destinado a medir e registrar, contínua e cumulativamente,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fornecido ao imóvel;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Lacre: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e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Proprietário: titular do domínio útil ou possuidor do bem imóvel, a justo título. Quando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estiver constituído sob a forma de condomínio, para efeitos deste Regulamento, este 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do imóvel. </w:t>
      </w:r>
    </w:p>
    <w:p>
      <w:pPr>
        <w:autoSpaceDN w:val="0"/>
        <w:autoSpaceDE w:val="0"/>
        <w:widowControl/>
        <w:spacing w:line="245" w:lineRule="auto" w:before="5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Ramal predial: conjunto de tubulações, conexões e registro compreendido entre 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até antes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p) Reservatório: instalação destinada a armazenar água e assegurar a pressão suficiente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q) Solução alternativa coletiva de abastecimento de água para consumo humano: toda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modalidade de abastecimento coletivo de água distinta do sistema público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incluindo, dentre outras, fonte, poço comunitário, distribuição por veículo transportador,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condominiais horizontais e verticais.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Serviços públicos de esgotamento sanitário: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Água de reuso: água proveniente do processo de tratamento de esgotos, não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 a usos diversos que não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Caixa de inspeção (pontos de coleta de esgoto): é o ponto de conexão da(s) instalação(ões)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predial(is) do usuário (ramal coletor) com a caixa de ligação de esgoto, caracterizando-se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limite de responsabilidade do prestador de serviços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Coleta de esgoto: recolhimento do efluente líquido através de ligações à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Coletor predial: tubulação de esgoto na área interna do lote até a caixa de ligação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Coletor tronco: rede pública constituída por tubulação de grande diâmetro- com objetivo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coletar das redes primárias e destiná-las às estações elevatórias ou 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Estação Elevatória de Esgotos (EEE): conjunto de bombas, tubulações,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destinados à elevação dos efluentes (esgoto);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Estação de Tratamento de Esgotos (ETE): unidade composta de conjunto de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acessórios e tubulações para tratar os efluentes antes de lançá-los aos corpos hídricos,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Instalação predial de esgoto: conjunto de tubulações, equipamentos, peças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localizados na área interna da unidade usuária, a montante do ponto de coleta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 na coleta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Ramal predial de esgoto: conjunto de tubulações e peças especiais situadas entre 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 e o ponto de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Rede pública de esgotamento sanitário: conjunto de tubulações, peças e equipamentos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os pontos de coleta aos sistemas de tratamento de esgoto, sendo parte integrante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Sistema condominial de esgoto: sistema composto de redes e ramais multifamiliares, reunindo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grupo de unidades usuárias, formando condomínios, como unidade de esgotamento;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Sistema público de esgotamento sanitário (SES): conjunto de instalações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nas atividades de coleta, afastamento, tratamento e disposição final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Denominações genéricas: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Alto consumo: consumo mensal da unidade usuária, cujo valor medido ultrapassa em 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por cento), no mínimo, a média aritmética dos últimos seis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Consumo mínimo: faturamento do volume mínimo por economia em metros cúbicos, medidos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mês e definido pelo titular dos serviços ou, na sua ausência, pela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Contrato de Prestação de Serviços: instrumento contratual padronizado, previamente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Capivari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(ARES-PCJ), para a prestação dos serviços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cujas cláusulas estão vinculadas às normas e regulamentos, não podendo seu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modificado pelo SAAE ou pelo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Contrato especial: instrumento pelo qual o Serviço de Água e Esgoto (SAE) e o usuário ajustam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características técnicas e as condições comerciais dos serviços de abastecimento de água 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que deverá ser homologado pela ARES-PCJ nos casos necessários;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Corte da ligação: interrupção ou desligamento dos serviços pelo Serviço de Água e Esgoto (SAE)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meio de instalação de dispositivo supressor ou outro meio, com suspensão da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Despejo não doméstico: efluente líquido decorrente do uso da água para fins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diversos, conforme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Economia: unidades autônomas para fornecimento de água ou esgotamento sanitário,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moradias, apartamentos, unidades comerciais, salas de escritório, indústrias, órgãos públicos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similares, existentes numa determinada edificação, que são atendidos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Fatura de serviços: nota fiscal ou documento que apresenta a quantia total a ser paga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referente à prestação do serviço público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referente a um período especificado, discriminando-se as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 Decreto federal nº. 5.440/2005 e deste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Inspeção: fiscalização na unidade usuária, posteriormente à ligação, com vistas a verificar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aos padrões técnicos e de segurança do Serviço de Água e Esgoto (SAE),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 sistema de medição e a conformidade dos dados cadastrais;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Limitador de consumo: dispositivo instalado no ramal predial para restringir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Monitoramento operacional: acompanhamento e avaliação dos serviços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 sistema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Recomposição: ação de responsabilidade do Serviço de Água e Esgoto (SAE) em iniciar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terminar a recuperação ou a recomposição de muros, passeios e pavimentos deteriorados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ampliação ou manutenção das redes públicas de água e esgoto, levando-se em consideração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fluxo de pedestres e veículos e os casos de obras e serviços continuados;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Supressão da ligação: interrupção ou desligamento definitivo dos serviços,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retiradas das instalações entre o ponto de conexão e a rede pública, suspensão da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e inativação do cadastro 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n) Unidade usuária: economia ou conjunto de economias atendidos através de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de esgoto;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Usuário/cliente: pessoa física ou jurídica, legalmente representada, que solicitar 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abastecimento de água e/ou esgotamento sanitário, vinculada 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usuária, sendo o mesmo responsável pelo pagamento das faturas e pelas demais obrigações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fixadas em normas legais, regulamentares e contratuais;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p) Vazamento oculto: vazamento de difícil percepção, passível de ocorrer no sistema público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cuja detecção seja comprovada através de testes ou por técnicos especializados.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– Cada unidade usuária dotada de ligação de água e esgoto será cadastrada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(SAE), cabendo-lhe um único número de ligação.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– Um usuário poderá ser titular de uma ou mais unidades usuárias em locais diversos.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instalação e atendimento a mais de uma unidade no mesmo local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titularidade do mesmo proprietário, observará os requisitos técnicos para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de esgotamento sanitário. </w:t>
      </w:r>
    </w:p>
    <w:p>
      <w:pPr>
        <w:autoSpaceDN w:val="0"/>
        <w:autoSpaceDE w:val="0"/>
        <w:widowControl/>
        <w:spacing w:line="245" w:lineRule="auto" w:before="348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– Toda unidade usuária será enquadrada nas categorias previstas no plano tarifário,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o usuário informar as alterações supervenientes que possam resultar reenquadramento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classificação. </w:t>
      </w:r>
    </w:p>
    <w:p>
      <w:pPr>
        <w:autoSpaceDN w:val="0"/>
        <w:autoSpaceDE w:val="0"/>
        <w:widowControl/>
        <w:spacing w:line="245" w:lineRule="auto" w:before="5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A prestação dos serviços de abastecimento de água e esgotamento sanitário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remunerada sob a forma de tarifa e demais preços públicos, e os reajustes serão aplicados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 o disposto na legislação vigente, bem como das resoluções editadas pela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ser diferenciadas, conforme as categorias de usuários e as faixas de consumo.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As leituras serão obrigatoriamente efetuadas em período não inferior a 27 dias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 a 33 dias, de acordo com o cronograma de execução do Serviço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de segunda-feira a sábado durante o dia, e excepcionalmente em feriados e pontos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facultativos. </w:t>
      </w:r>
    </w:p>
    <w:p>
      <w:pPr>
        <w:autoSpaceDN w:val="0"/>
        <w:autoSpaceDE w:val="0"/>
        <w:widowControl/>
        <w:spacing w:line="245" w:lineRule="auto" w:before="5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A determinação dos consumos que se faz para cada usuário será pela diferença entre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obtidas no período estimado de 30 dias, efetuando-se a cobrança da seguinte forma: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Com mensuração do consumo, por meio de hidrômetro; respeitando a categoria de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usuária. </w:t>
      </w:r>
    </w:p>
    <w:p>
      <w:pPr>
        <w:autoSpaceDN w:val="0"/>
        <w:autoSpaceDE w:val="0"/>
        <w:widowControl/>
        <w:spacing w:line="245" w:lineRule="auto" w:before="5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Por consumo estimado excepcionalmente nas hipóteses previstas neste Regulamento.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Havendo impossibilidade de verificação dos consumos medidos em razão de quebra,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dificuldade ou impedimento de acesso ao equipamento de medição, no momento em que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tentou realizar a leitura, considerar-se-á para fins de faturamento, o consumo com base na média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seis (06) últimos meses onde houve faturamento de medição normal, salvo no caso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ocorrer violação do hidrômetro conforme artigo 55 deste regulamento. </w:t>
      </w:r>
    </w:p>
    <w:p>
      <w:pPr>
        <w:autoSpaceDN w:val="0"/>
        <w:autoSpaceDE w:val="0"/>
        <w:widowControl/>
        <w:spacing w:line="245" w:lineRule="auto" w:before="54" w:after="0"/>
        <w:ind w:left="1416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– Nos casos em que não existirem dados concretos para obtenção de média, o faturamento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feito com base em um consumo medido de, no mínimo, 05 (cinco) dias, e no máximo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estimando-se o consumo mensal do usuário. </w:t>
      </w:r>
    </w:p>
    <w:p>
      <w:pPr>
        <w:autoSpaceDN w:val="0"/>
        <w:autoSpaceDE w:val="0"/>
        <w:widowControl/>
        <w:spacing w:line="245" w:lineRule="auto" w:before="350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Art. 6º – É de responsabilidade do usuário adequação técnica, manutenção e a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da unidade usuária, situadas além do ponto de entrega ou de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normas técnicas, ainda que o Serviço de Água e Esgoto (SAE) tenha procedido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usuário será responsável, na qualidade de depositário a título gratuito,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custódia do padrão de ligação de água e equipamentos de medição e outros dispositivos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de acordo com suas normas procedimentais.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– Toda construção permanente urbana com condição regular de habitabilidade situada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via pública, beneficiada com redes de abastecimento de água e ou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obrigatoriamente se conectar a rede pública, respeitada as exigências técnicas.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Constatado o descumprimento da obrigação prevista no caput do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anterior, o usuário será notificado para adequação no prazo de 30 (trinta) dias podendo obter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ao Serviço de Água e Esgoto (SAE) as diretrizes necessárias para adequação. </w:t>
      </w:r>
    </w:p>
    <w:p>
      <w:pPr>
        <w:autoSpaceDN w:val="0"/>
        <w:autoSpaceDE w:val="0"/>
        <w:widowControl/>
        <w:spacing w:line="245" w:lineRule="auto" w:before="346" w:after="0"/>
        <w:ind w:left="4320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PREÇOS PÚBLICOS E SERVIÇOS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8° – Os preços públicos serão devidos, em contraprestação, pelo usuário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>específicos e divisíveis colocados à disposição pelo Serviço de Água e Esgotos de Iracemápolis-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9° – Anualmente, o Serviço de Água e Esgotos de Iracemápolis-SAE submeterá solicitação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de tarifas e preços públicos à ARES-PCJ, nos termos das normas legais vigentes,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e emissão de parecer, sendo agendada com o Conselho de Regulação e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município, reunião para apresentação da manifestação técnica e consequente aprovação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 ser publicada em Diário Oficial do Município.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– Os serviços prestados pelo Serviço de Água e Esgotos de Iracemápolis-SAE são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Protocolo;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Cadastro e alterações cadastrais;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Corte do fornecimento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Corte do fornecimento de água com serviço de demolição de calçada;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Reparo no cavalete sem o fornecimento de peças;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Substituição de hidrômetro sem o fornecimento do equipamento;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Verificação e lacração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Religação normal de água cortada;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Instalação de hidrômetro com o fornecimento do equipamento;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Religação de água com serviço de reparação de calçada;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Ligação nova de água com corte de reparação de pavimento asfáltico;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Ligação nova de esgoto com corte de reparação de pavimento asfáltico;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Ligação Nova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Fornecimento de água tratada;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Afastamento e/ou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Aferição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Revisão de Contas;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Fiscalização de Redes;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Ligação Nova de Água;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5328" w:right="51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PRAZOS </w:t>
      </w:r>
    </w:p>
    <w:p>
      <w:pPr>
        <w:autoSpaceDN w:val="0"/>
        <w:autoSpaceDE w:val="0"/>
        <w:widowControl/>
        <w:spacing w:line="245" w:lineRule="auto" w:before="348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– Os serviços de protocolo consistente em requerimentos diversos, petições e análise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serão respondidos no prazo de 15 (quinze) dias, sendo aberta vista do processo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após a decisão administrativa. </w:t>
      </w:r>
    </w:p>
    <w:p>
      <w:pPr>
        <w:autoSpaceDN w:val="0"/>
        <w:autoSpaceDE w:val="0"/>
        <w:widowControl/>
        <w:spacing w:line="245" w:lineRule="auto" w:before="348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– Os pedidos de ligação de água e de esgoto (definitiva ou temporária), separação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serão atendidos no prazo de 10 (dez) dias úteis contados a partir da aprovação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do cumprimento das demais obrigações. </w:t>
      </w:r>
    </w:p>
    <w:p>
      <w:pPr>
        <w:autoSpaceDN w:val="0"/>
        <w:autoSpaceDE w:val="0"/>
        <w:widowControl/>
        <w:spacing w:line="245" w:lineRule="auto" w:before="346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– Os serviços de desligue, religue, aferição de hidrômetro, revisão de contas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atendidos no prazo de 15 (quinze) dias úteis a contar da comprovação de pagamento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 preço público. </w:t>
      </w:r>
    </w:p>
    <w:p>
      <w:pPr>
        <w:autoSpaceDN w:val="0"/>
        <w:autoSpaceDE w:val="0"/>
        <w:widowControl/>
        <w:spacing w:line="245" w:lineRule="auto" w:before="348" w:after="0"/>
        <w:ind w:left="1416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– Os serviços de fiscalização de redes, análise de aprovação de projeto e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diretrizes, termos de compromisso e certidões de aceite serão atendidos no prazo de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úteis a contar da comprovação de pagamento dos respectivos preços públicos e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incidentes. </w:t>
      </w:r>
    </w:p>
    <w:p>
      <w:pPr>
        <w:autoSpaceDN w:val="0"/>
        <w:autoSpaceDE w:val="0"/>
        <w:widowControl/>
        <w:spacing w:line="245" w:lineRule="auto" w:before="344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TITULO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DISPONÍVEIS </w:t>
      </w:r>
    </w:p>
    <w:p>
      <w:pPr>
        <w:autoSpaceDN w:val="0"/>
        <w:autoSpaceDE w:val="0"/>
        <w:widowControl/>
        <w:spacing w:line="245" w:lineRule="auto" w:before="348" w:after="0"/>
        <w:ind w:left="5328" w:right="51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PROTOCOLO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– O serviço de protocolo consiste na apresentação de petições, requerimentos,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 e análise de documentos ao Serviço de Água e Esgotos de Iracemápolis- SAE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autuação, apreciação e resposta ao usuário.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No ato do requerimento de protocolo o interessado deverá indicar um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meios disponibilizados pelo Serviço de Água e Esgoto (SAE) para a resposta.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– É vedado o fornecimento de cópias e relatórios cujo conteúdo tenha caráter sigiloso,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se de interesse pessoal do requerente devidamente justificado. </w:t>
      </w:r>
    </w:p>
    <w:p>
      <w:pPr>
        <w:autoSpaceDN w:val="0"/>
        <w:autoSpaceDE w:val="0"/>
        <w:widowControl/>
        <w:spacing w:line="245" w:lineRule="auto" w:before="5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O usuário receberá o número do protocolo de atendimento, contendo data e horário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e a descrição do serviço com prazo para execução.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usuário que requerer ligação de água, separação de ligação ou ligação esgoto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declarar em formulário próprio que o imóvel possui condições de habitabilidade. </w:t>
      </w:r>
    </w:p>
    <w:p>
      <w:pPr>
        <w:autoSpaceDN w:val="0"/>
        <w:autoSpaceDE w:val="0"/>
        <w:widowControl/>
        <w:spacing w:line="245" w:lineRule="auto" w:before="350" w:after="0"/>
        <w:ind w:left="5472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CADASTRO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21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Art.17. – O serviço de cadastro será devido sempre que houver registro inicial ou alteração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de proprietário de imóvel ou usuário de serviços no cadastro fiscal do Serviço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(SAE). </w:t>
      </w:r>
    </w:p>
    <w:p>
      <w:pPr>
        <w:autoSpaceDN w:val="0"/>
        <w:autoSpaceDE w:val="0"/>
        <w:widowControl/>
        <w:spacing w:line="245" w:lineRule="auto" w:before="52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Para fins de cobrança amigável ou judicial, será considerado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 o usuário cadastrado no período correspondente, e o não cumprimento do disposto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primeiro do artigo 19 desta Resolução, ensejará a responsabilização do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quitação de débitos efetuados na ausência de solicitação de alteração cadastral ou na falta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indicação de novo usuário, sob pena inclusive de interrupção dos serviços, protesto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judicial e/ou inscrição em dívida ativa. </w:t>
      </w:r>
    </w:p>
    <w:p>
      <w:pPr>
        <w:autoSpaceDN w:val="0"/>
        <w:autoSpaceDE w:val="0"/>
        <w:widowControl/>
        <w:spacing w:line="245" w:lineRule="auto" w:before="348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– O pedido de cadastro será processado mediante a apresentação de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pessoais ou CNPJ e Contrato Social para pessoa jurídica, bem como de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comprobatórios de posse ou propriedade, se for o caso. </w:t>
      </w:r>
    </w:p>
    <w:p>
      <w:pPr>
        <w:autoSpaceDN w:val="0"/>
        <w:autoSpaceDE w:val="0"/>
        <w:widowControl/>
        <w:spacing w:line="245" w:lineRule="auto" w:before="52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Qualquer alteração na propriedade e posse de imóvel, de categoria do imóvel, do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economias, ou de sua demolição, deverá ser imediatamente comunicada ao Serviço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(SAE) pelo usuário, para verificação e posterior atualização do cadastro. </w:t>
      </w:r>
    </w:p>
    <w:p>
      <w:pPr>
        <w:autoSpaceDN w:val="0"/>
        <w:autoSpaceDE w:val="0"/>
        <w:widowControl/>
        <w:spacing w:line="245" w:lineRule="auto" w:before="52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proprietário que requerer ligação de água ou esgoto deverá declarar em formulário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 que possui local apropriado para receber correspondência, bem como disponibilizar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para instalação do padrão, podendo em caso de dúvidas consultar 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 do SAE.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Serão cadastrados todos os usuários ativos por ligação, podendo haver mais de uma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nome de um mesmo usuário, obedecidas as normas técnicas. </w:t>
      </w:r>
    </w:p>
    <w:p>
      <w:pPr>
        <w:autoSpaceDN w:val="0"/>
        <w:autoSpaceDE w:val="0"/>
        <w:widowControl/>
        <w:spacing w:line="245" w:lineRule="auto" w:before="5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A pessoa jurídica cadastrada deverá indicar um sócio ou responsável no ato do pedido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terá natureza solidária pelos débitos gerados.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– É vedado o cadastro de usuário que possua débitos junto ao Serviço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(SAE). </w:t>
      </w:r>
    </w:p>
    <w:p>
      <w:pPr>
        <w:autoSpaceDN w:val="0"/>
        <w:autoSpaceDE w:val="0"/>
        <w:widowControl/>
        <w:spacing w:line="245" w:lineRule="auto" w:before="56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A solicitação de alterações cadastrais por terceiros e/ou cônjuges será aceita mediante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procuração do titular do imóvel reconhecido firma, junto com os documentos pessoais, contratos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locação entre outros. </w:t>
      </w:r>
    </w:p>
    <w:p>
      <w:pPr>
        <w:autoSpaceDN w:val="0"/>
        <w:autoSpaceDE w:val="0"/>
        <w:widowControl/>
        <w:spacing w:line="245" w:lineRule="auto" w:before="348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LIGAÇÃO E SEPARAÇÃO DE ÁGUA </w:t>
      </w:r>
    </w:p>
    <w:p>
      <w:pPr>
        <w:autoSpaceDN w:val="0"/>
        <w:autoSpaceDE w:val="0"/>
        <w:widowControl/>
        <w:spacing w:line="245" w:lineRule="auto" w:before="344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– O serviço de ligação de água será cobrado quando o usuário assim requerer junto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(SAE), mediante assinatura de contrato e apresentação dos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 e pagamento da tarifa correspondente. </w:t>
      </w:r>
    </w:p>
    <w:p>
      <w:pPr>
        <w:autoSpaceDN w:val="0"/>
        <w:autoSpaceDE w:val="0"/>
        <w:widowControl/>
        <w:spacing w:line="245" w:lineRule="auto" w:before="346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– Serão cobrados ainda, antecipadamente ou posteriormente, caso necessário, hora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máquina e asfalto utilizados na prestação do serviço, sem prejuízo dos demais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incidentes. </w:t>
      </w:r>
    </w:p>
    <w:p>
      <w:pPr>
        <w:autoSpaceDN w:val="0"/>
        <w:autoSpaceDE w:val="0"/>
        <w:widowControl/>
        <w:spacing w:line="245" w:lineRule="auto" w:before="342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– O usuário é responsável pela conservação e preservação do hidrômetro utilizado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água, e caso constatada a perda ou dano será substituído e cobrado valor específico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medidor, exceto se comprovada a ausência de responsabilidade pelo ocorrido.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Constatado dano no hidrômetro, sendo inviável a leitura correta,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 será efetivado o cálculo pela média dos últimos seis meses onde houve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normal.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– A separação de ligação de água será efetivada desde que não haja débitos cadastrados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ligação principal, mediante fiscalização prévia no local, e posterior homologação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competente.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Para fins de cadastro a separação de ligação de água será considerada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ligação devendo necessariamente constar usuário diverso da ligação principal. </w:t>
      </w:r>
    </w:p>
    <w:p>
      <w:pPr>
        <w:autoSpaceDN w:val="0"/>
        <w:autoSpaceDE w:val="0"/>
        <w:widowControl/>
        <w:spacing w:line="245" w:lineRule="auto" w:before="348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LIGAÇÃO DE ESGOTO </w:t>
      </w:r>
    </w:p>
    <w:p>
      <w:pPr>
        <w:autoSpaceDN w:val="0"/>
        <w:autoSpaceDE w:val="0"/>
        <w:widowControl/>
        <w:spacing w:line="245" w:lineRule="auto" w:before="346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– Poderá ser prestado o serviço descrito neste CAPÍTULO, onde houver sistema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em condições de atendimento, passando a ser faturado desde a execução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ligação, inclusive pelo seu uso potencial. </w:t>
      </w:r>
    </w:p>
    <w:p>
      <w:pPr>
        <w:autoSpaceDN w:val="0"/>
        <w:autoSpaceDE w:val="0"/>
        <w:widowControl/>
        <w:spacing w:line="245" w:lineRule="auto" w:before="52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Para fins de cadastro a solicitação de ligação de esgoto deverá corresponder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 a uma ligação de água cadastrada, tendo obrigatoriamente como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ativo desta. </w:t>
      </w:r>
    </w:p>
    <w:p>
      <w:pPr>
        <w:autoSpaceDN w:val="0"/>
        <w:autoSpaceDE w:val="0"/>
        <w:widowControl/>
        <w:spacing w:line="245" w:lineRule="auto" w:before="344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– Serão cobrados ainda, antecipadamente ou posteriormente, caso necessário, hora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máquina e asfalto utilizados na prestação do serviço, sem prejuízo dos demais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– O Serviço de Água e Esgoto (SAE) poderá exigir pré-tratamento dos esgotos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 com características físico-químicos distintas do esgoto sanitário, para recebê-los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sistema.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– O lançamento de efluentes no sistema do Serviço de Água e Esgoto (SAE) será feito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gravidade. Se houver necessidade de recalque, este deverá ser executado pelo interessado 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exigida caixa de “quebra-pressão”, da qual os efluentes partirão por gravidade para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coletora. </w:t>
      </w:r>
    </w:p>
    <w:p>
      <w:pPr>
        <w:autoSpaceDN w:val="0"/>
        <w:autoSpaceDE w:val="0"/>
        <w:widowControl/>
        <w:spacing w:line="245" w:lineRule="auto" w:before="344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– Os despejos das garagens, oficinas, postos de serviços e de abastecimento de veículos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quais seja feita lavagem ou lubrificação deverão obrigatoriamente passar por caixa retentora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areia e graxa, aprovada pelo órgão competente, sob pena de ser bloqueado o acesso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à rede pública de afastamento de esgoto sanitário. </w:t>
      </w:r>
    </w:p>
    <w:p>
      <w:pPr>
        <w:autoSpaceDN w:val="0"/>
        <w:autoSpaceDE w:val="0"/>
        <w:widowControl/>
        <w:spacing w:line="245" w:lineRule="auto" w:before="342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– O usuário gerador de efluentes líquidos decorrentes de atividades industriais,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consultar o Serviço de Água e Esgoto (SAE) para que possa realizar o devido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lançamento, excetuados os de origem sanitária. </w:t>
      </w:r>
    </w:p>
    <w:p>
      <w:pPr>
        <w:autoSpaceDN w:val="0"/>
        <w:autoSpaceDE w:val="0"/>
        <w:widowControl/>
        <w:spacing w:line="245" w:lineRule="auto" w:before="344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– Não são admitidos na rede coletora de esgoto despejos industriais que contenham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 possam danificá-la, cabendo ao usuário gerador requerer junto ao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(SAE) análise conforme normas técnicas.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6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– É vedado o lançamento no coletor público de despejos industriais in natura que: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Sejam nocivos à saúde ou prejudiciais à segurança dos trabalhadores na rede;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Interfiram na operação de desempenho dos sistemas de rateamento;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Obstruam tubulações e equipamentos;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Ataquem as tubulações, afetando a resistência ou durabilidade de suas estruturas;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Com temperaturas elevadas, acima de 40º C (quarenta graus centígrados). </w:t>
      </w:r>
    </w:p>
    <w:p>
      <w:pPr>
        <w:autoSpaceDN w:val="0"/>
        <w:autoSpaceDE w:val="0"/>
        <w:widowControl/>
        <w:spacing w:line="245" w:lineRule="auto" w:before="348" w:after="0"/>
        <w:ind w:left="4176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FORNECIMENTO DE ÁGUA TRATADA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– O usuário cadastrado pagará pelo consumo de água tratada, de acordo com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 previstas em resolução da Agência Reguladora. </w:t>
      </w:r>
    </w:p>
    <w:p>
      <w:pPr>
        <w:autoSpaceDN w:val="0"/>
        <w:autoSpaceDE w:val="0"/>
        <w:widowControl/>
        <w:spacing w:line="245" w:lineRule="auto" w:before="54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usuário poderá optar por 06 (seis) datas de vencimento da fatura,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disponibilizados pelo Serviço de Água e Esgoto (SAE), exceto para modalidade de pagamento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 automático.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– O consumo mínimo de água a ser cobrado por ligação terá como base o preço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manutenção, ampliação e utilização potencial das redes. </w:t>
      </w:r>
    </w:p>
    <w:p>
      <w:pPr>
        <w:autoSpaceDN w:val="0"/>
        <w:autoSpaceDE w:val="0"/>
        <w:widowControl/>
        <w:spacing w:line="245" w:lineRule="auto" w:before="5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As faixas de consumo adotadas pelo Serviço de Água e Esgoto (SAE) serão aprovadas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da Agencia Reguladora. </w:t>
      </w:r>
    </w:p>
    <w:p>
      <w:pPr>
        <w:autoSpaceDN w:val="0"/>
        <w:autoSpaceDE w:val="0"/>
        <w:widowControl/>
        <w:spacing w:line="245" w:lineRule="auto" w:before="52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A fatura será emitida mensalmente mediante a cobrança do preço mínimo acrescido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 cúbicos excedentes se for o caso, conforme as faixas de consumo previstas em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– Para efeito de faturamento as ligações de água serão classificadas,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da Agência Reguladora vigente, nas categorias Residencial, Comercial, Industrial,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Municipal, Residencial Social, Rural e Público Estadual, como segue: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Define-se como Consumidor Residencial: todas as edificações destinadas à habitação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 onde a água é utilizada para fins domésticos. </w:t>
      </w:r>
    </w:p>
    <w:p>
      <w:pPr>
        <w:autoSpaceDN w:val="0"/>
        <w:autoSpaceDE w:val="0"/>
        <w:widowControl/>
        <w:spacing w:line="245" w:lineRule="auto" w:before="52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Define-se como Consumidor Comercial: todos os estabelecimentos destinados a comércio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varejista e atacadista, e prestação de serviços, incluindo neste caso, os postos de gasolina,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transportadoras, viações, usinas de concreto e asfalto, consultórios médicos e odontológicos,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laboratórios médicos, ou conforme cadastro do imóvel (IPTU). </w:t>
      </w:r>
    </w:p>
    <w:p>
      <w:pPr>
        <w:autoSpaceDN w:val="0"/>
        <w:autoSpaceDE w:val="0"/>
        <w:widowControl/>
        <w:spacing w:line="245" w:lineRule="auto" w:before="52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Define-se como Consumidor Industrial: todos os estabelecimentos destinados a processar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transformação de qualquer tipo de matéria-prima para produzir bens de consumo para terceiros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ou conforme cadastro do imóvel (IPTU). </w:t>
      </w:r>
    </w:p>
    <w:p>
      <w:pPr>
        <w:autoSpaceDN w:val="0"/>
        <w:autoSpaceDE w:val="0"/>
        <w:widowControl/>
        <w:spacing w:line="245" w:lineRule="auto" w:before="5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Define-se como Consumidor Público: todos os estabelecimentos destinados à educação,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saúde, lazer, cultural, templos religiosos, associações assistenciais, filantrópicas e classistas,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clubes esportivos e recreativos (sem fins lucrativos), órgãos municipais, estaduais e federais.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Define-se como Consumidor Rural: todos os imóveis cadastrados no INCRA que comprove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desenvolve atividade econômica e estejam localizados dentro a área de expansão urbana.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Agência Reguladora poderá adotar outras categorias de acordo com atributos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 estabelecidos pela mesma.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– Para economias com atividade mista, o cadastramento será efetuado como segue: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296" w:right="1584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Atividades de residência com comércio, o cadastrado será feito na categoria comercial;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Atividades de residência com indústria, o cadastrado será feito na categoria industrial.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Atividades de comércio com indústria, o cadastrado será feito na categoria industrial. </w:t>
      </w:r>
    </w:p>
    <w:p>
      <w:pPr>
        <w:autoSpaceDN w:val="0"/>
        <w:autoSpaceDE w:val="0"/>
        <w:widowControl/>
        <w:spacing w:line="245" w:lineRule="auto" w:before="344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– Para efeito de faturamento aos usuários, os condomínios horizontais e verticais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cadastrar tantas economias ativas quantas existirem no local, mediante declaração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responsável, podendo o Serviço de Água e Esgoto de Iracemápolis realizar vistoria para efetiva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comprovação, sob pena de cancelamento e cobrança retroativa.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Poderão ser exigidas do síndico ou responsável pelo condomínio, a documentação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comprobatória da quantidade de economias ativas. </w:t>
      </w:r>
    </w:p>
    <w:p>
      <w:pPr>
        <w:autoSpaceDN w:val="0"/>
        <w:autoSpaceDE w:val="0"/>
        <w:widowControl/>
        <w:spacing w:line="245" w:lineRule="auto" w:before="5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Os hotéis, pousadas, pensões e congêneres serão consideradas como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para fins de faturamento. </w:t>
      </w:r>
    </w:p>
    <w:p>
      <w:pPr>
        <w:autoSpaceDN w:val="0"/>
        <w:autoSpaceDE w:val="0"/>
        <w:widowControl/>
        <w:spacing w:line="245" w:lineRule="auto" w:before="346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– As alterações da categoria do imóvel, do número de economias,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comunicadas ao Serviço de Água e Esgoto (SAE) pelo usuário, para verificação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 atualização do cadastro.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– Compete ao usuário do imóvel viabilizar a leitura mensal do consumo de água, deixando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visível ou possibilitando o acesso ao mesmo.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Cabe ao usuário, em caso de impossibilidade de leitura, fornecer ao Serviço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(SAE) a leitura do hidrômetro e solicitar a revisão da fatura.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Em caso de impossibilidade de leitura, o usuário será notificado da ocorrência e estará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sujeito às penalidades pela não regularização, conforme Artigos 55 e 56 deste regulamento.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Não sendo localizado o usuário ou responsável, para fins da notificação pessoal prevista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parágrafo anterior, será intimado pelo Diário Oficial do Município para regularização. </w:t>
      </w:r>
    </w:p>
    <w:p>
      <w:pPr>
        <w:autoSpaceDN w:val="0"/>
        <w:autoSpaceDE w:val="0"/>
        <w:widowControl/>
        <w:spacing w:line="245" w:lineRule="auto" w:before="348" w:after="0"/>
        <w:ind w:left="1416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– O Serviço de Água e Esgoto (SAE) fornecerá água temporariamente ao usuário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 requerer para atendimento de atividades e eventos transitórios, construções, obras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públicos, parques de diversão, exposições, circos, dentre outros, onde no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houver medição por hidrômetro e que será medido o consumo no período do evento, gerando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para pagamento conforme consumo na categoria.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Os documentos exigidos para ligações temporárias referentes a obras em logradouros públicos,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parques de diversão, exposições, circos, dentre outros serão respectivamente: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Alvarás de funcionamento devidamente liberado pelo órgão responsável na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Iracemápolis;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Documento de aprovação do empreendimento devidamente liberado pelo órgão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Prefeitura Municipal de Iracemápolis.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CNPJ e Contrato Social para pessoa jurídica. </w:t>
      </w:r>
    </w:p>
    <w:p>
      <w:pPr>
        <w:autoSpaceDN w:val="0"/>
        <w:autoSpaceDE w:val="0"/>
        <w:widowControl/>
        <w:spacing w:line="245" w:lineRule="auto" w:before="5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ramal predial de ligação temporária para atendimento de construções, sempre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possível, deverá ser dimensionado de modo a ser aproveitado para a ligação definitiva. </w:t>
      </w:r>
    </w:p>
    <w:p>
      <w:pPr>
        <w:autoSpaceDN w:val="0"/>
        <w:autoSpaceDE w:val="0"/>
        <w:widowControl/>
        <w:spacing w:line="245" w:lineRule="auto" w:before="342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– O Serviço de Água e Esgoto (SAE) poderá firmar contratos de fornecimento de água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previstos nos artigos anteriores, a fim de atender o interesse público ou coletivo, sendo cobrados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correspondentes de acordo com os custos estipulados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competente, de acordo com as normas da Agência Reguladora PCJ (ARES-PCJ).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3888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AFASTAMENTO E/ OU COLETA DE ESGOTOS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– O usuário pagará mensalmente ao Serviço de Água e Esgoto (SAE) o afastamento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esgotos desde que haja ramal coletor de esgotamento sanitário em sua propriedade,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ainda que seu uso seja potencial, conjuntamente com a fatura de fornecimento de água tratada.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Havendo na propriedade derivação própria de água, tais como poços artesianos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nascentes, bem como a efetiva utilização do ramal coletor de esgotamento sanitário municipal,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instalado pelo SAE medidor para fins de faturamento de afastamento e/ou coleta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 tabela de preços vigente. </w:t>
      </w:r>
    </w:p>
    <w:p>
      <w:pPr>
        <w:autoSpaceDN w:val="0"/>
        <w:autoSpaceDE w:val="0"/>
        <w:widowControl/>
        <w:spacing w:line="245" w:lineRule="auto" w:before="5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Não havendo a possibilidade técnica de instalação de medidor será cobrado o valor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a CATEGORIA pertencente de acordo com a tabela de preços vigente. </w:t>
      </w:r>
    </w:p>
    <w:p>
      <w:pPr>
        <w:autoSpaceDN w:val="0"/>
        <w:autoSpaceDE w:val="0"/>
        <w:widowControl/>
        <w:spacing w:line="245" w:lineRule="auto" w:before="54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O usuário que declarar que apenas parte do volume de água utilizado retorne 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coleta de esgoto deverá providenciar às suas expensas a instalação de medidor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saída do efluente de esgoto para efetivo faturamento. </w:t>
      </w:r>
    </w:p>
    <w:p>
      <w:pPr>
        <w:autoSpaceDN w:val="0"/>
        <w:autoSpaceDE w:val="0"/>
        <w:widowControl/>
        <w:spacing w:line="245" w:lineRule="auto" w:before="52" w:after="0"/>
        <w:ind w:left="1416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O usuário que possua derivação própria de água descrita no caput e que possua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afastamento e coleta de esgotos que possa servir a propriedade deverá interligar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obrigatoriamente, sem prejuízo de cobrança de seu uso potencial por tarifa mínima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 aos órgãos ambientais competentes.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– Entende-se por instalação de esgoto o ramal coletor, o trecho que vai da rede coletora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viela sanitária ao alinhamento da propriedade. </w:t>
      </w:r>
    </w:p>
    <w:p>
      <w:pPr>
        <w:autoSpaceDN w:val="0"/>
        <w:autoSpaceDE w:val="0"/>
        <w:widowControl/>
        <w:spacing w:line="245" w:lineRule="auto" w:before="348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DESLIGUE E RELIGUE DE ÁGUA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– O usuário poderá requerer desligue do fornecimento por meio de retirada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desligamento direto em rede, desde que comprovada sua legitimidade,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os seguintes requisitos em conjunto: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Requerimento mediante formulário próprio com justificativa do pedido;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Pagamento dos valores referentes ao serviço solicitado. </w:t>
      </w:r>
    </w:p>
    <w:p>
      <w:pPr>
        <w:autoSpaceDN w:val="0"/>
        <w:autoSpaceDE w:val="0"/>
        <w:widowControl/>
        <w:spacing w:line="245" w:lineRule="auto" w:before="52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Após a efetivação do desligue, será apurado o consumo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 encaminhado ao usuário, à fatura para pagamento e será cobrado o valor previsto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tabela vigente.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43. – O usuário poderá requerer religue do fornecimento, a qualquer tempo, mediante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 do preço público correspondente desde que não haja débitos em seu nome. </w:t>
      </w:r>
    </w:p>
    <w:p>
      <w:pPr>
        <w:autoSpaceDN w:val="0"/>
        <w:autoSpaceDE w:val="0"/>
        <w:widowControl/>
        <w:spacing w:line="245" w:lineRule="auto" w:before="342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AFERIÇÃO DE HIDRÔMETRO </w:t>
      </w:r>
    </w:p>
    <w:p>
      <w:pPr>
        <w:autoSpaceDN w:val="0"/>
        <w:autoSpaceDE w:val="0"/>
        <w:widowControl/>
        <w:spacing w:line="245" w:lineRule="auto" w:before="342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44. – O usuário poderá requerer a aferição do hidrômetro, por meio de protocolo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impugnando faturas emitidas até 3 (três) meses anteriores ao pedido, mediante requerimento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que assume a responsabilidade pelo eventual pagamento pelo respectivo serviço,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suspenso o vencimento das faturas impugnadas e subsequentes, até a consequente aferição.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No requerimento o usuário deverá especificar as faturas que impugna e poderá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seja agendado, e em caso de ausência de responsáveis na residência, e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 de disponibilidade do Serviço de Água e Esgotos (SAE), será contatado para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agendamento. </w:t>
      </w:r>
    </w:p>
    <w:p>
      <w:pPr>
        <w:autoSpaceDN w:val="0"/>
        <w:autoSpaceDE w:val="0"/>
        <w:widowControl/>
        <w:spacing w:line="245" w:lineRule="auto" w:before="52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Em caso de tentativa de agendamento infrutífera ou caso não haja responsáveis no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momento da visita técnica, o Serviço de Água e Esgoto (SAE) aguardará por 10 dias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manifestação do interessado, sob pena de indeferimento e arquivamento do processo. </w:t>
      </w:r>
    </w:p>
    <w:p>
      <w:pPr>
        <w:autoSpaceDN w:val="0"/>
        <w:autoSpaceDE w:val="0"/>
        <w:widowControl/>
        <w:spacing w:line="245" w:lineRule="auto" w:before="344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45. – A aferição do hidrômetro será realizada por servidor do Serviço de Água e Esgoto (SAE)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meio de equipamento próprio devidamente homologado pelo INMETRO, sendo entregue,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momento da aferição, laudo técnico com o resultado.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medidor será acondicionado em involucro próprio e lacrado no ato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pelo técnico do Serviço de Água e Esgoto (SAE) na presença do solicitante ou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representante, para o transporte até o laboratório de testes, entregue no ato recibo, e após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>notificado o interessado da data e local da realização da aferição, para caso queira, acompanha-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– Caso a aferição constate defeito no hidrômetro este será substituído sem custo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sendo ainda efetivada a revisão das faturas impugnadas e as subsequentes ao pedido,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base na média do consumo dos últimos 06 meses referência onde houve leitura normal.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Caso as faturas de água estejam pagas haverá a revisão das contas de água nos mesmos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moldes do caput deste artigo e será lançado crédito da diferença verificada, em conta futura.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usuário poderá requerer, caso queira, a devolução do valor pago à maior, que ocorrerá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máximo de 30 (trinta) dias após o pedido. </w:t>
      </w:r>
    </w:p>
    <w:p>
      <w:pPr>
        <w:autoSpaceDN w:val="0"/>
        <w:autoSpaceDE w:val="0"/>
        <w:widowControl/>
        <w:spacing w:line="245" w:lineRule="auto" w:before="52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Caso não seja constatado defeito no hidrômetro, será notificado o usuário acerca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resultado e para que efetue o pagamento das faturas em aberto e do valor da aferição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10 (dez) dias, sob pena de incidência de juros e multa por atraso no pagamento. </w:t>
      </w:r>
    </w:p>
    <w:p>
      <w:pPr>
        <w:autoSpaceDN w:val="0"/>
        <w:autoSpaceDE w:val="0"/>
        <w:widowControl/>
        <w:spacing w:line="245" w:lineRule="auto" w:before="344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DE CONTA DE ÁGUA </w:t>
      </w:r>
    </w:p>
    <w:p>
      <w:pPr>
        <w:autoSpaceDN w:val="0"/>
        <w:autoSpaceDE w:val="0"/>
        <w:widowControl/>
        <w:spacing w:line="245" w:lineRule="auto" w:before="348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– A revisão de conta tem como finalidade a correção de eventuais erros de leitura 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ajuste de leituras não realizadas por motivos diversos e alheios a responsabilidade do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(SAE). </w:t>
      </w:r>
    </w:p>
    <w:p>
      <w:pPr>
        <w:autoSpaceDN w:val="0"/>
        <w:autoSpaceDE w:val="0"/>
        <w:widowControl/>
        <w:spacing w:line="245" w:lineRule="auto" w:before="52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É vedada a revisão de contas que tenha como fundamento a má conservação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redes internas do imóvel, salvo no caso de vazamento oculto, conforme disposto no Capítulo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desta Resolução. </w:t>
      </w:r>
    </w:p>
    <w:p>
      <w:pPr>
        <w:autoSpaceDN w:val="0"/>
        <w:autoSpaceDE w:val="0"/>
        <w:widowControl/>
        <w:spacing w:line="245" w:lineRule="auto" w:before="342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– O pedido de revisão da conta de água deverá ser formalizado pelo interessado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60 (sessenta) dias, a contar da data da leitura, em que foi constatado o erro ou ocorrência,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requerimento do respectivo serviço, salvo se devidamente justificado 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do prazo e autorizado pela autoridade superior competente. </w:t>
      </w:r>
    </w:p>
    <w:p>
      <w:pPr>
        <w:autoSpaceDN w:val="0"/>
        <w:autoSpaceDE w:val="0"/>
        <w:widowControl/>
        <w:spacing w:line="245" w:lineRule="auto" w:before="54" w:after="0"/>
        <w:ind w:left="1416" w:right="20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requerimento deverá ser instruído com os seguintes documentos: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Formulário de requerimento preenchido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Cópia da fatura do mês referência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6" w:right="705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Cópia CPF e RG do usuário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Fornecimento da leitura atual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Exposição sucinta de motivos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49. – O pedido de revisão suspende o vencimento da conta.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– Caso o pedido de revisão seja deferido será lançada nova fatura com prazo de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pagamento de 10 (dez) dias, a partir de sua reemissão.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 – Caso o pedido de revisão seja deferido e a fatura a ser recalculada esteja paga, será lançado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conta futura o crédito verificado. </w:t>
      </w:r>
    </w:p>
    <w:p>
      <w:pPr>
        <w:autoSpaceDN w:val="0"/>
        <w:autoSpaceDE w:val="0"/>
        <w:widowControl/>
        <w:spacing w:line="245" w:lineRule="auto" w:before="5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 – O usuário poderá requerer, caso entenda necessário, a devolução imediata do valor pago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maior, que ocorrerá no prazo máximo de 30 (trinta) dias após o pedido, por meio de protocolo.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 – Caso o pedido de revisão seja indeferido e a fatura objeto do pedido não esteja paga,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 nova fatura para pagamento com prazo mínimo de 10 (dez) dias, sob pena de incidência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juros e multa. </w:t>
      </w:r>
    </w:p>
    <w:p>
      <w:pPr>
        <w:autoSpaceDN w:val="0"/>
        <w:autoSpaceDE w:val="0"/>
        <w:widowControl/>
        <w:spacing w:line="245" w:lineRule="auto" w:before="348" w:after="0"/>
        <w:ind w:left="4176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ANÁLISE E APROVAÇÃO DE PROJETOS </w:t>
      </w:r>
    </w:p>
    <w:p>
      <w:pPr>
        <w:autoSpaceDN w:val="0"/>
        <w:autoSpaceDE w:val="0"/>
        <w:widowControl/>
        <w:spacing w:line="245" w:lineRule="auto" w:before="348" w:after="0"/>
        <w:ind w:left="1416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50. – O serviço de análise e aprovação de projetos é devido de todo àquele que submeter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do departamento técnico do Município (Coordenadoria de Planejamentos e Obras)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referentes à extensão da rede de abastecimento de água potável, extensão da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 e estação de tratamento de esgoto. </w:t>
      </w:r>
    </w:p>
    <w:p>
      <w:pPr>
        <w:autoSpaceDN w:val="0"/>
        <w:autoSpaceDE w:val="0"/>
        <w:widowControl/>
        <w:spacing w:line="245" w:lineRule="auto" w:before="56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Os projetos deverão ser apresentados com requerimento fundamentado,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acompanhados das respectivas Anotações de Responsabilidade Técnica e outras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requisitadas pelo departamento competente. </w:t>
      </w:r>
    </w:p>
    <w:p>
      <w:pPr>
        <w:autoSpaceDN w:val="0"/>
        <w:autoSpaceDE w:val="0"/>
        <w:widowControl/>
        <w:spacing w:line="245" w:lineRule="auto" w:before="34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FISCALIZAÇÃO DE REDES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– É devido o pagamento do serviço de fiscalização de redes quando o usuário ou loteador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necessitar de interligação da rede localizada na unidade usuária até a rede pública municipal. </w:t>
      </w:r>
    </w:p>
    <w:p>
      <w:pPr>
        <w:autoSpaceDN w:val="0"/>
        <w:autoSpaceDE w:val="0"/>
        <w:widowControl/>
        <w:spacing w:line="245" w:lineRule="auto" w:before="344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52. – Antes da solicitação do serviço, deverá o interessado requerer diretrizes junto ao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 do Serviço de Água e Esgoto (SAE), que analisará inclusive a viabilidade técnica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do projeto. </w:t>
      </w:r>
    </w:p>
    <w:p>
      <w:pPr>
        <w:autoSpaceDN w:val="0"/>
        <w:autoSpaceDE w:val="0"/>
        <w:widowControl/>
        <w:spacing w:line="245" w:lineRule="auto" w:before="350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53. – O requerimento para fiscalização de redes deverá ser instruído com cópia da certidão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aprovação de projeto e demais documentos necessários, sendo emitido documento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ateste a regularidade da instalação de acordo com as normas técnicas previstas pelo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(SAE). </w:t>
      </w:r>
    </w:p>
    <w:p>
      <w:pPr>
        <w:autoSpaceDN w:val="0"/>
        <w:autoSpaceDE w:val="0"/>
        <w:widowControl/>
        <w:spacing w:line="245" w:lineRule="auto" w:before="342" w:after="0"/>
        <w:ind w:left="5472" w:right="51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TITULO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</w:p>
    <w:p>
      <w:pPr>
        <w:autoSpaceDN w:val="0"/>
        <w:autoSpaceDE w:val="0"/>
        <w:widowControl/>
        <w:spacing w:line="197" w:lineRule="auto" w:before="348" w:after="0"/>
        <w:ind w:left="239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IRREGULARIDADES, INFRAÇÕES E INTERRUPÇÃO DO FORNECIMENTO.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2304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 E DA LAVRATURA DO TERMO DE OCORRÊNCIA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IRREGULARIDADE - TOI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54. – Constituem irregularidades as seguintes condutas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Instalação hidráulica predial de água ligada à rede pública interligada com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 - Derivação do ramal predial antes do hidrômetro (</w:t>
      </w:r>
      <w:r>
        <w:rPr>
          <w:rFonts w:ascii="Calibri" w:hAnsi="Calibri" w:eastAsia="Calibri"/>
          <w:b w:val="0"/>
          <w:i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Interligação de instalações prediais de água, entre imóveis distintos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Impedimento voluntário à promoção da leitura do hidrômetro ou à execução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cavalete e hidrômetro pela prestadora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Violação do lacre da caixa ou cubículo de proteção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Ausência de caixa de gordura sifonada na instalação predial interna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Instalação de aparelhos eliminadores ou supressores de 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- 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– Ausência de caixa de inspeção no ramal de esgoto em logradouro público (testada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 –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 – Lançar resíduos sólidos na rede coletora de esgoto, que possam prejudicar o seu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funcionamento.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Considera-se desperdício o uso de água para fins diversos da necessidade humana média,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tais como lavagem de veículos, calçadas, passeios dentre outros. </w:t>
      </w:r>
    </w:p>
    <w:p>
      <w:pPr>
        <w:autoSpaceDN w:val="0"/>
        <w:autoSpaceDE w:val="0"/>
        <w:widowControl/>
        <w:spacing w:line="245" w:lineRule="auto" w:before="5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Verificada a irregularidade e/ou constatado que a conduta gerou ausência de faturamento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valor inferior ao real, o Serviço de Água e Esgoto (SAE) adotará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Lavratura de termo de ocorrência de irregularidade, com cópia ao usuário e assinatura deste,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em caso de negativa será encaminhado via postal com aviso de recebimento.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Encaminhamento aos órgãos competentes;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proceder à revisão do faturamento com base no consumo medido ou na impossibilidade,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base na média dos últimos 06 (seis) meses onde houve leitura normal.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No caso de inviabilidade de aplicação dos critérios previstos no inciso III, o valor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determinado de oficio por meio de estimativa com base nas instalações da unidade usuária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nas atividades nela desenvolvidas.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Aplicar imposição de multas, conforme o caso, observado os seguintes limites: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20 vezes o valor da TARIFA MÍNIMA DE FORNECIMENTO DE ÁGUA da categoria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INFRAÇÕES LEVES;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30 vezes o valor da TARIFA MÍNIMA DE FORNECIMENTO DE ÁGUA da categoria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INFRAÇÕES GRAVES;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50 vezes o valor da TARIFA MÍNIMA DE FORNECIMENTO DE ÁGUA da categoria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INFRAÇÕES GRAVISSÍMAS. </w:t>
      </w:r>
    </w:p>
    <w:p>
      <w:pPr>
        <w:autoSpaceDN w:val="0"/>
        <w:autoSpaceDE w:val="0"/>
        <w:widowControl/>
        <w:spacing w:line="245" w:lineRule="auto" w:before="346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Quando necessário, na presença de autoridade policial ou servidor designado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(SAE), procederá à retirada do hidrômetro em invólucro lacrado e preservado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o encerramento de processo ou emissão de laudo policial. </w:t>
      </w:r>
    </w:p>
    <w:p>
      <w:pPr>
        <w:autoSpaceDN w:val="0"/>
        <w:autoSpaceDE w:val="0"/>
        <w:widowControl/>
        <w:spacing w:line="245" w:lineRule="auto" w:before="348" w:after="0"/>
        <w:ind w:left="4464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PENALIDADES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55. – Serão consideradas INFRAÇÕES, os procedimentos irregulares de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 do USUÁRIO, conforme segue: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INFRAÇÕES LEVES: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Impedimento voluntário à promoção da leitura do hidrômetro ou à execução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cavalete e hidrômetro pela prestadora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Violação do lacre da caixa ou cubículo de proteção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Ausência de caixa de gordura sifonada na instalação predial interna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Instalação de aparelhos eliminadores ou supressores de 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j)Ausência de caixa de inspeção no ramal de esgoto em logradouro público (testada do imóvel);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INFRAÇÕES GRAVES: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a)Instalação hidráulica predial de água ligada à rede pública interligada com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Interligação de instalações prediais de água, entre imóveis distintos com ou sem débito;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INFRAÇÕES GRAVÍSSIMAS: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88" w:val="left"/>
          <w:tab w:pos="9856" w:val="left"/>
        </w:tabs>
        <w:autoSpaceDE w:val="0"/>
        <w:widowControl/>
        <w:spacing w:line="245" w:lineRule="auto" w:before="61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Derivação do ramal predial antes do hidrômetro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(by pass);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f)Lançar resíduos sólidos na rede coletora de esgoto, que possam prejudicar o seu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[]h ytgu54ee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9+6ybg7v5ft4r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q1j*)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lançamentos no coletor público de despejos industriais in natura de que trata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31 desta Resolução. </w:t>
      </w:r>
    </w:p>
    <w:p>
      <w:pPr>
        <w:autoSpaceDN w:val="0"/>
        <w:autoSpaceDE w:val="0"/>
        <w:widowControl/>
        <w:spacing w:line="245" w:lineRule="auto" w:before="5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§1°. No caso de reincidência das INFRAÇÕES LEVES, previstas neste item, as mesmas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consideradas como INFRAÇÕES GRAVES e punidas como tal. </w:t>
      </w:r>
    </w:p>
    <w:p>
      <w:pPr>
        <w:autoSpaceDN w:val="0"/>
        <w:autoSpaceDE w:val="0"/>
        <w:widowControl/>
        <w:spacing w:line="245" w:lineRule="auto" w:before="5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§2°. No caso de reincidência das INFRAÇÕES GRAVES, previstas neste item, as mesmas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consideradas como INFRAÇÕES GRAVÍSSIMAS e punidas como tal.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§3°. No caso de reincidência das INFRAÇÕES GRAVISSIMAS, previstas neste item, as mesmas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lançadas em dobro. </w:t>
      </w:r>
    </w:p>
    <w:p>
      <w:pPr>
        <w:autoSpaceDN w:val="0"/>
        <w:autoSpaceDE w:val="0"/>
        <w:widowControl/>
        <w:spacing w:line="245" w:lineRule="auto" w:before="348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 FORNECIMENTO </w:t>
      </w:r>
    </w:p>
    <w:p>
      <w:pPr>
        <w:autoSpaceDN w:val="0"/>
        <w:autoSpaceDE w:val="0"/>
        <w:widowControl/>
        <w:spacing w:line="245" w:lineRule="auto" w:before="348" w:after="0"/>
        <w:ind w:left="1416" w:right="10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56. – As interrupções do serviço de fornecimento de água serão comunicadas, sempre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possível, com 72 horas de antecedência aos usuários, através dos meios de comunicação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disponíveis. </w:t>
      </w:r>
    </w:p>
    <w:p>
      <w:pPr>
        <w:autoSpaceDN w:val="0"/>
        <w:autoSpaceDE w:val="0"/>
        <w:widowControl/>
        <w:spacing w:line="245" w:lineRule="auto" w:before="348" w:after="0"/>
        <w:ind w:left="1416" w:right="10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57. – Quando a interrupção do serviço demandar duração superior a 12 horas, 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(SAE) providenciará fornecimento emergencial para atender as necessidades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básicas da população abrangida, sendo medido e cobrado do usuário mediante sua anuência.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58. – O serviço de fornecimento de água poderá ser interrompido, a qualquer tempo,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de outras sanções e nos termos da lei,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situações que atinjam a segurança de pessoas e bens, especialmente as de emergência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coloquem em risco a saúde da população ou de trabalhadores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manipulação indevida, por parte do usuário, da ligação predial, inclusive medidor,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componente da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necessidade de efetuar reparos, modificações ou melhorias urgentes no sistema;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revenda ou 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ligação clandestina ou religação à revelia;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deficiência técnica e/ou de segurança das instalações da unidade usuária que ofereça risco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iminente de danos a pessoas ou bens;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solicitação do usuário, nos limites desta Resolução;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não ligação à rede pública de coleta e tratamento de esgoto sanitário, após a notificação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 e ultrapassado o prazo para a devida regularização; e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negativa do usuário em permitir a instalação de dispositivo de leitura de água consumida,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*/após ter sido previamente notificado a respeito. </w:t>
      </w:r>
    </w:p>
    <w:p>
      <w:pPr>
        <w:autoSpaceDN w:val="0"/>
        <w:autoSpaceDE w:val="0"/>
        <w:widowControl/>
        <w:spacing w:line="245" w:lineRule="auto" w:before="5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59. – O Serviço de Água e Esgoto (SAE), após aviso ao usuário, com comprovante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podendo ser este por meio de fatura com mensagem de débitos em aberto,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exposição na própria fatura da data do referido corte no fornecimento de água e inclusive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eletrônico se autorizado, emitido com antecedência de 30 dias da data prevista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suspensão, poderá suspender o fornecimento de água e/ou de esgotamento sanitário: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por inadimplência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pela negativa de acesso ou imposição de obstáculo para leitura do hidrômetro,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substituição;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quando não solicitada ligação definitiva, depois de concluída a obra atendida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temporária. </w:t>
      </w:r>
    </w:p>
    <w:p>
      <w:pPr>
        <w:autoSpaceDN w:val="0"/>
        <w:autoSpaceDE w:val="0"/>
        <w:widowControl/>
        <w:spacing w:line="245" w:lineRule="auto" w:before="54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A suspensão prevista no inciso II será efetivada após a devida notificação ao usuário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comprovante de recebimento, acerca da impossibilidade de leitura, manutenção ou substituição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hidrômetro. </w:t>
      </w:r>
    </w:p>
    <w:p>
      <w:pPr>
        <w:autoSpaceDN w:val="0"/>
        <w:autoSpaceDE w:val="0"/>
        <w:widowControl/>
        <w:spacing w:line="245" w:lineRule="auto" w:before="52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aviso de suspensão dos serviços deverá ser escrito de forma compreensível e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entendimento, discriminando o motivo da suspensão e indicando as faturas inadimplidas, se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caso. </w:t>
      </w:r>
    </w:p>
    <w:p>
      <w:pPr>
        <w:autoSpaceDN w:val="0"/>
        <w:autoSpaceDE w:val="0"/>
        <w:widowControl/>
        <w:spacing w:line="245" w:lineRule="auto" w:before="5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Constatada que a suspensão foi indevida, será restabelecido o serviço de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no prazo máximo de 12 horas, sendo creditado em conta futura, a título de indenização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20% (vinte por cento) do valor líquido da última fatura emitida antes da suspensão indevida.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Em caso de negativa de recebimento do aviso, será devidamente certificado a entrega,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servido este como comprovante. </w:t>
      </w:r>
    </w:p>
    <w:p>
      <w:pPr>
        <w:autoSpaceDN w:val="0"/>
        <w:autoSpaceDE w:val="0"/>
        <w:widowControl/>
        <w:spacing w:line="245" w:lineRule="auto" w:before="344" w:after="0"/>
        <w:ind w:left="1416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60. – O usuário poderá requerer o restabelecimento dos serviços, em caso de inadimplência,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o pagamento integral dos débitos vencidos até 90 dias anteriores ao recebimento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notificação de que trata o artigo 68 desta Resolução e dos débitos posteriores que vierem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vencer.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61. – É vedado a suspensão de fornecimento de água a estabelecimentos de saúde,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instituições educacionais e de internação coletiva de pessoas, bem como às sextas-feiras ou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véspera de feriados nacionais, estaduais e federais. </w:t>
      </w:r>
    </w:p>
    <w:p>
      <w:pPr>
        <w:autoSpaceDN w:val="0"/>
        <w:autoSpaceDE w:val="0"/>
        <w:widowControl/>
        <w:spacing w:line="245" w:lineRule="auto" w:before="344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62. – Cessado o motivo da suspensão, o Serviço de Água e Esgoto (SAE) restabelecerá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no prazo máximo de 24 horas para interrupção com aviso prévio e de 72 horas em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retirada do ramal. </w:t>
      </w:r>
    </w:p>
    <w:p>
      <w:pPr>
        <w:autoSpaceDN w:val="0"/>
        <w:autoSpaceDE w:val="0"/>
        <w:widowControl/>
        <w:spacing w:line="245" w:lineRule="auto" w:before="346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PARCELAMENTO DE DÉBITOS </w:t>
      </w:r>
    </w:p>
    <w:p>
      <w:pPr>
        <w:autoSpaceDN w:val="0"/>
        <w:autoSpaceDE w:val="0"/>
        <w:widowControl/>
        <w:spacing w:line="197" w:lineRule="auto" w:before="37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63. – Os débitos pretéritos, inscritos ou não em dívida ativa, de qualquer natureza, poderão </w:t>
      </w:r>
    </w:p>
    <w:p>
      <w:pPr>
        <w:autoSpaceDN w:val="0"/>
        <w:autoSpaceDE w:val="0"/>
        <w:widowControl/>
        <w:spacing w:line="197" w:lineRule="auto" w:before="7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recolhidos em parcelas mensais iguais e consecutivas, conforme Lei Tributária Municipal </w:t>
      </w:r>
    </w:p>
    <w:p>
      <w:pPr>
        <w:autoSpaceDN w:val="0"/>
        <w:autoSpaceDE w:val="0"/>
        <w:widowControl/>
        <w:spacing w:line="197" w:lineRule="auto" w:before="8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vigente, por meio de pedido de parcelamento autorizado pela autoridade competente, salvo nos </w:t>
      </w:r>
    </w:p>
    <w:p>
      <w:pPr>
        <w:autoSpaceDN w:val="0"/>
        <w:autoSpaceDE w:val="0"/>
        <w:widowControl/>
        <w:spacing w:line="197" w:lineRule="auto" w:before="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em que o contrato de locação for inferior ao número máximo de parcelas, sendo o mês de </w:t>
      </w:r>
    </w:p>
    <w:p>
      <w:pPr>
        <w:autoSpaceDN w:val="0"/>
        <w:autoSpaceDE w:val="0"/>
        <w:widowControl/>
        <w:spacing w:line="197" w:lineRule="auto" w:before="8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término do contrato de locação o prazo limite para o parcelamento dos débitos do imóvel.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6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Os débitos recentes, assim considerados aqueles com vencimento inferior 90 dias,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objeto de parcelamento, salvo decisão fundamentada nos termos do artigo 72. </w:t>
      </w:r>
    </w:p>
    <w:p>
      <w:pPr>
        <w:autoSpaceDN w:val="0"/>
        <w:autoSpaceDE w:val="0"/>
        <w:widowControl/>
        <w:spacing w:line="245" w:lineRule="auto" w:before="8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Os preços públicos poderão ser parcelados respeitando valor mínimo e 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parcelas devidamente especificado neste regulamento. </w:t>
      </w:r>
    </w:p>
    <w:p>
      <w:pPr>
        <w:autoSpaceDN w:val="0"/>
        <w:autoSpaceDE w:val="0"/>
        <w:widowControl/>
        <w:spacing w:line="245" w:lineRule="auto" w:before="80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Os pedidos de parcelamento deverão ser formulados por meio de requerimento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menção do total do débito, sua origem e o número pretendido de parcelas e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subscritos pelo usuário ou responsável pelo pagamento. </w:t>
      </w:r>
    </w:p>
    <w:p>
      <w:pPr>
        <w:autoSpaceDN w:val="0"/>
        <w:autoSpaceDE w:val="0"/>
        <w:widowControl/>
        <w:spacing w:line="247" w:lineRule="auto" w:before="8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O requerimento do devedor solicitando o parcelamento valerá como confissão irretratável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dívida e renúncia de defesa ou recurso administrativo, bem como desistência dos interpostos.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– O valor do débito constante do pedido não exclui a verificação de sua exatidão e a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eventuais diferenças. </w:t>
      </w:r>
    </w:p>
    <w:p>
      <w:pPr>
        <w:autoSpaceDN w:val="0"/>
        <w:autoSpaceDE w:val="0"/>
        <w:widowControl/>
        <w:spacing w:line="245" w:lineRule="auto" w:before="80" w:after="0"/>
        <w:ind w:left="1416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– O valor mínimo das prestações mensais para os requerimentos de parcelamento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protocolados nos anos/exercícios subsequentes será reajustado pelos índices de variação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IPCA/IBGE, ou em caso de sua extinção, por outro índice oficial que vier a substituí-lo. </w:t>
      </w:r>
    </w:p>
    <w:p>
      <w:pPr>
        <w:autoSpaceDN w:val="0"/>
        <w:autoSpaceDE w:val="0"/>
        <w:widowControl/>
        <w:spacing w:line="245" w:lineRule="auto" w:before="8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– O vencimento das parcelas será definido a critério do devedor, exceto da primeira parcela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vencerá em 03 dias contados da autorização de parcelamento. </w:t>
      </w:r>
    </w:p>
    <w:p>
      <w:pPr>
        <w:autoSpaceDN w:val="0"/>
        <w:autoSpaceDE w:val="0"/>
        <w:widowControl/>
        <w:spacing w:line="245" w:lineRule="auto" w:before="80" w:after="0"/>
        <w:ind w:left="1416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– O pagamento da primeira parcela e do valor correspondente de taxas e custas judiciais,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honorários advocatícios e demais custas, se for o caso, são requisitos essenciais de validade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parcelamento. </w:t>
      </w:r>
    </w:p>
    <w:p>
      <w:pPr>
        <w:autoSpaceDN w:val="0"/>
        <w:autoSpaceDE w:val="0"/>
        <w:widowControl/>
        <w:spacing w:line="245" w:lineRule="auto" w:before="8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9º – Para as unidades consumidoras que já possuam débitos parcelados, somente será admitido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 parcelamento após a liquidação do já existente, excetos em casos devidamente justificados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aceitos pelo Serviço de Água e Esgoto (SAE). </w:t>
      </w:r>
    </w:p>
    <w:p>
      <w:pPr>
        <w:autoSpaceDN w:val="0"/>
        <w:autoSpaceDE w:val="0"/>
        <w:widowControl/>
        <w:spacing w:line="245" w:lineRule="auto" w:before="8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10 – Verificado que existem débitos em cobrança judicial, o parcelamento deverá ser realizado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na Procuradoria ou autorizado por esta. </w:t>
      </w:r>
    </w:p>
    <w:p>
      <w:pPr>
        <w:autoSpaceDN w:val="0"/>
        <w:autoSpaceDE w:val="0"/>
        <w:widowControl/>
        <w:spacing w:line="245" w:lineRule="auto" w:before="400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64. – Para parcelamento dos débitos serão acrescidos juros simples de 0,5% (meio por cento)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cada parcela mensal requerida, sobre o montante do débito, em parcelas iguais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subsequentes. </w:t>
      </w:r>
    </w:p>
    <w:p>
      <w:pPr>
        <w:autoSpaceDN w:val="0"/>
        <w:autoSpaceDE w:val="0"/>
        <w:widowControl/>
        <w:spacing w:line="247" w:lineRule="auto" w:before="40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65. – A falta de pagamento de 3 (três) parcelas implicará no cancelamento do parcelamento,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 o débito estiver em fase de cobrança judicial será procedido o prosseguimento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Execução=-90876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Fiscal. </w:t>
      </w:r>
    </w:p>
    <w:p>
      <w:pPr>
        <w:autoSpaceDN w:val="0"/>
        <w:autoSpaceDE w:val="0"/>
        <w:widowControl/>
        <w:spacing w:line="245" w:lineRule="auto" w:before="80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parcelamento em atraso que ainda não se encontre cancelado poderá 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continuidade, desde que todas as parcelas em atraso sejam quitadas, com a incidência de juros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multa sobre o valor atualizado da parcela. </w:t>
      </w:r>
    </w:p>
    <w:p>
      <w:pPr>
        <w:autoSpaceDN w:val="0"/>
        <w:autoSpaceDE w:val="0"/>
        <w:widowControl/>
        <w:spacing w:line="245" w:lineRule="auto" w:before="372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VAZAMENTO OCULTO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7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66. – O Serviço de Água e Esgoto (SAE) concede aos usuários o benefício da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 de contas em caso de vazamento oculto. </w:t>
      </w:r>
    </w:p>
    <w:p>
      <w:pPr>
        <w:autoSpaceDN w:val="0"/>
        <w:autoSpaceDE w:val="0"/>
        <w:widowControl/>
        <w:spacing w:line="250" w:lineRule="auto" w:before="40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Considera-se vazamento oculto aquele de difícil percepção,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atestado por laudo técnico emitido por empresa com competência técnica para realização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detecção de vazamento oculto: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Para que ocorra o benefício, o requerente deverá protocolar a solicitação da revisão da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apresentando laudo técnico, fotos do local que comprovem o vazamento oculto. </w:t>
      </w:r>
    </w:p>
    <w:p>
      <w:pPr>
        <w:autoSpaceDN w:val="0"/>
        <w:autoSpaceDE w:val="0"/>
        <w:widowControl/>
        <w:spacing w:line="245" w:lineRule="auto" w:before="80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Pendências de contas de água referentes a vazamentos ocultos ocorridos anteriormente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homologação deste Regulamento terão prazo de 60 (sessenta) dias após a vigência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para protocolar no departamento responsável. </w:t>
      </w:r>
    </w:p>
    <w:p>
      <w:pPr>
        <w:autoSpaceDN w:val="0"/>
        <w:autoSpaceDE w:val="0"/>
        <w:widowControl/>
        <w:spacing w:line="245" w:lineRule="auto" w:before="40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67. – Constatado o vazamento oculto, o valor devido será calculado, da seguinte forma: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O SAE usará como base de cálculo para cobrança da fatura mensal a média do consumo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últimos 6 (seis) meses. </w:t>
      </w:r>
    </w:p>
    <w:p>
      <w:pPr>
        <w:autoSpaceDN w:val="0"/>
        <w:autoSpaceDE w:val="0"/>
        <w:widowControl/>
        <w:spacing w:line="245" w:lineRule="auto" w:before="8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O usuário só poderá requer o benefício para a mesma unidade consumidora, uma vez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período de 12 meses. </w:t>
      </w:r>
    </w:p>
    <w:p>
      <w:pPr>
        <w:autoSpaceDN w:val="0"/>
        <w:autoSpaceDE w:val="0"/>
        <w:widowControl/>
        <w:spacing w:line="245" w:lineRule="auto" w:before="80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disposto neste artigo somente se aplicará para até duas contas mensais consecutivas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 unidade consumidora, desde que não haja débitos anteriores, sendo que 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 serão apuradas no valor normalmente medido. </w:t>
      </w:r>
    </w:p>
    <w:p>
      <w:pPr>
        <w:autoSpaceDN w:val="0"/>
        <w:autoSpaceDE w:val="0"/>
        <w:widowControl/>
        <w:spacing w:line="245" w:lineRule="auto" w:before="80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O interessado deverá formular requerimento devidamente fundamentado,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60 (sessenta) dias, contados a partir da emissão da fatura mensal de água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identificado o aumento excessivo do consumo ordinário. </w:t>
      </w:r>
    </w:p>
    <w:p>
      <w:pPr>
        <w:autoSpaceDN w:val="0"/>
        <w:autoSpaceDE w:val="0"/>
        <w:widowControl/>
        <w:spacing w:line="245" w:lineRule="auto" w:before="400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TITULO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FINAIS </w:t>
      </w:r>
    </w:p>
    <w:p>
      <w:pPr>
        <w:autoSpaceDN w:val="0"/>
        <w:autoSpaceDE w:val="0"/>
        <w:widowControl/>
        <w:spacing w:line="245" w:lineRule="auto" w:before="40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48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68. O Serviço de Água e Esgoto (SAE) deve dispor de sistema de atendimento telefônico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gratuito aos usuários, durante 24 (vinte e quatro) horas por dia, 7 (sete) dias por semana,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a reclamação apresentada ser registrada e numerada.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As pessoas portadoras de necessidades especiais, idosos, gestantes, lactantes e pessoas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acompanhadas por criança de colo, serão atendidas prioritariamente. </w:t>
      </w:r>
    </w:p>
    <w:p>
      <w:pPr>
        <w:autoSpaceDN w:val="0"/>
        <w:autoSpaceDE w:val="0"/>
        <w:widowControl/>
        <w:spacing w:line="245" w:lineRule="auto" w:before="5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Todas as solicitações apresentadas serão registradas e numeradas, devendo o protocolo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informado ao usuário para acompanhamento da solicitação.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69. – As reclamações e queixas serão autuadas e analisadas pelos departamentos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 e respondidas aos usuários no prazo máximo de 10 (quinze) dias úteis.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03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70. – As situações não previstas nesta Resolução, obedecerão às disposições legais vigentes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município, tais como, código de posturas, código de obras e outros, bem como resoluções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emitidas pela Agencia Reguladora que atua no município.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71. – Os casos omissos ou de dúvida na interpretação serão resolvidos pelo Diretor do SAE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despacho fundamentado.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72. – Para a adequação às exigências deste regulamento, o Serviço de Água e Esgoto (SAE)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convocará os usuários cadastrados para atualização e adequação das obrigações.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73. – O atraso no pagamento dos preços públicos e serviços prestados, incidirá juros de mora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0.5% (meio por cento) ao mês, bem como multa de mora de 2% (dois por cento) sobre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corrigido por índice oficial. </w:t>
      </w:r>
    </w:p>
    <w:p>
      <w:pPr>
        <w:autoSpaceDN w:val="0"/>
        <w:autoSpaceDE w:val="0"/>
        <w:widowControl/>
        <w:spacing w:line="245" w:lineRule="auto" w:before="5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índice oficial adotado pelo Serviço de Água e Esgoto de Iracemápolis (SAE)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correção monetária será o IPCA/IBGE ou outro índice que venha a substitui-lo.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74. – Os preços públicos dos serviços e tarifas ficam determinados por Resolução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do Município. </w:t>
      </w:r>
    </w:p>
    <w:p>
      <w:pPr>
        <w:autoSpaceDN w:val="0"/>
        <w:autoSpaceDE w:val="0"/>
        <w:widowControl/>
        <w:spacing w:line="245" w:lineRule="auto" w:before="588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Tê de Serviço Integrado Articulado (TSI), DN/DE 50/60 x DN 20 mm, em copolímero de PP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ferramenta de corte, pino para articulação, parafusos, porcas e arruelas em aço inox AISI 304.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1.1. Quantidade utilizada: 1 peça.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Tubo de polietileno (azul) de alta densidade PE - 80, para ligação predial de água,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NTS 048, DN 20 mm. </w:t>
      </w:r>
    </w:p>
    <w:p>
      <w:pPr>
        <w:autoSpaceDN w:val="0"/>
        <w:autoSpaceDE w:val="0"/>
        <w:widowControl/>
        <w:spacing w:line="245" w:lineRule="auto" w:before="52" w:after="0"/>
        <w:ind w:left="1416" w:right="633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 Quantidade utilizada: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2.2. Rede no passeio: 02 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2.3. Rede no terço favorável: 04 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2.4. Rede no terço contrário: 8,5 metros.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Cotovelo engate rápido Rosca x PE - 3/4" BSP NBR NM ISO7-1 x Ø20mm (PEAD) em Ferro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Fundido Maleável, conforme NBR6943, revestido com zincagem a fogo (galvanização) e pintura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cataforese (KTL). </w:t>
      </w:r>
    </w:p>
    <w:p>
      <w:pPr>
        <w:autoSpaceDN w:val="0"/>
        <w:autoSpaceDE w:val="0"/>
        <w:widowControl/>
        <w:spacing w:line="197" w:lineRule="auto" w:before="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3.1. Quantidade utilizada: 1 peça. </w:t>
      </w:r>
    </w:p>
    <w:p>
      <w:pPr>
        <w:autoSpaceDN w:val="0"/>
        <w:autoSpaceDE w:val="0"/>
        <w:widowControl/>
        <w:spacing w:line="245" w:lineRule="auto" w:before="34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Tubo de PVC rígido de seção circular, para instalações prediais conforme NBR 5648, na cor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branca, DN 3/4", com pontas roscáveis conforme NBR 6414.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4.1. Quantidade utilizada: 3 metros. </w:t>
      </w:r>
    </w:p>
    <w:p>
      <w:pPr>
        <w:autoSpaceDN w:val="0"/>
        <w:autoSpaceDE w:val="0"/>
        <w:widowControl/>
        <w:spacing w:line="245" w:lineRule="auto" w:before="344" w:after="0"/>
        <w:ind w:left="1416" w:right="18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Cotovelo 90° 3/4" BSP (NBR NM ISO 7-1), em Ferro Fundido Maleável, conforme NBR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6943, revestido com zincagem a fogo (galvanização) e pintura cataforese (KTL).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5.1. Quantidade utilizada: 2 peças.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0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Registro rosca macho e fêmea dn 3/4", corpo em PVC conforme NBR 11306, esfera e haste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poliacetal; batentes laterais da esfera em poliuretano; anel de vedação em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borracha nitrílica; acionamento em cabeça borboleta; extremidades roscas conforme NBR NM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ISO 7-1.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6.1. Quantidade utilizada: 1 peça.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 Conjunto porca e tubete de copolímero de polipropileno (PP) ou PVC, na cor azul,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NBR 8194, corpo do tubete oitavado com rosca de 3/4”, porca de 1” com inserto metálico,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ser utilizado em hidrômetro de 3/4”. </w:t>
      </w:r>
    </w:p>
    <w:p>
      <w:pPr>
        <w:autoSpaceDN w:val="0"/>
        <w:autoSpaceDE w:val="0"/>
        <w:widowControl/>
        <w:spacing w:line="197" w:lineRule="auto" w:before="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7.1. Quantidade utilizada: 2 peças.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 Hidrômetro.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8.1. Quantidade utilizada: 1 peça. </w:t>
      </w:r>
    </w:p>
    <w:p>
      <w:pPr>
        <w:autoSpaceDN w:val="0"/>
        <w:autoSpaceDE w:val="0"/>
        <w:widowControl/>
        <w:spacing w:line="245" w:lineRule="auto" w:before="348" w:after="0"/>
        <w:ind w:left="1416" w:right="66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 Lacre plástico de porca anti-fraude.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9.1. Quantidade utilizada: 2 peças.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53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496" w:after="512"/>
        <w:ind w:left="179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1: Representação do modelo esquemático da ligação com a disposição de peças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36.0" w:type="dxa"/>
      </w:tblPr>
      <w:tblGrid>
        <w:gridCol w:w="9028"/>
      </w:tblGrid>
      <w:tr>
        <w:trPr>
          <w:trHeight w:hRule="exact" w:val="9856"/>
        </w:trPr>
        <w:tc>
          <w:tcPr>
            <w:tcW w:type="dxa" w:w="8588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1296670</wp:posOffset>
                  </wp:positionH>
                  <wp:positionV relativeFrom="page">
                    <wp:posOffset>2341880</wp:posOffset>
                  </wp:positionV>
                  <wp:extent cx="5444489" cy="6243320"/>
                  <wp:wrapNone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4489" cy="62433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9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496" w:after="0"/>
        <w:ind w:left="17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2: Representação do modelo esquemático da ligação com a disposição das peças </w:t>
      </w:r>
    </w:p>
    <w:p>
      <w:pPr>
        <w:autoSpaceDN w:val="0"/>
        <w:autoSpaceDE w:val="0"/>
        <w:widowControl/>
        <w:spacing w:line="240" w:lineRule="auto" w:before="870" w:after="0"/>
        <w:ind w:left="210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1337310</wp:posOffset>
            </wp:positionH>
            <wp:positionV relativeFrom="page">
              <wp:posOffset>2553970</wp:posOffset>
            </wp:positionV>
            <wp:extent cx="5447030" cy="6384289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638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4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736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 INTRODUÇÃO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1.1. Os componentes devem atender as especificações técnicas e aos requisitos da norma.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(Norma Técnica e/ou ABNT). A figura 3 (ilustrativo) indica os principais componentes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de esgoto numa ligação domiciliar. </w:t>
      </w:r>
    </w:p>
    <w:p>
      <w:pPr>
        <w:autoSpaceDN w:val="0"/>
        <w:autoSpaceDE w:val="0"/>
        <w:widowControl/>
        <w:spacing w:line="197" w:lineRule="auto" w:before="346" w:after="244"/>
        <w:ind w:left="25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3: Exemplo de instalação de ramal predial de esgoto residencial.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6.0" w:type="dxa"/>
      </w:tblPr>
      <w:tblGrid>
        <w:gridCol w:w="9028"/>
      </w:tblGrid>
      <w:tr>
        <w:trPr>
          <w:trHeight w:hRule="exact" w:val="5554"/>
        </w:trPr>
        <w:tc>
          <w:tcPr>
            <w:tcW w:type="dxa" w:w="894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2" w:after="0"/>
              <w:ind w:left="67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1464310</wp:posOffset>
                  </wp:positionH>
                  <wp:positionV relativeFrom="page">
                    <wp:posOffset>4309110</wp:posOffset>
                  </wp:positionV>
                  <wp:extent cx="4664710" cy="3157219"/>
                  <wp:wrapNone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710" cy="315721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56" w:after="376"/>
        <w:ind w:left="15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Figura 01: Exemplo de instalação de ramal predial de esgoto residencial.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8.0" w:type="dxa"/>
      </w:tblPr>
      <w:tblGrid>
        <w:gridCol w:w="9028"/>
      </w:tblGrid>
      <w:tr>
        <w:trPr>
          <w:trHeight w:hRule="exact" w:val="668"/>
        </w:trPr>
        <w:tc>
          <w:tcPr>
            <w:tcW w:type="dxa" w:w="935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10" w:val="left"/>
              </w:tabs>
              <w:autoSpaceDE w:val="0"/>
              <w:widowControl/>
              <w:spacing w:line="245" w:lineRule="auto" w:before="66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Em nenhuma hipótese as águas pluviais poderão ser lançadas no ramal interno de esgotos </w:t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e, consequentemente, à rede pública de esgoto</w:t>
            </w:r>
          </w:p>
        </w:tc>
      </w:tr>
    </w:tbl>
    <w:p>
      <w:pPr>
        <w:autoSpaceDN w:val="0"/>
        <w:autoSpaceDE w:val="0"/>
        <w:widowControl/>
        <w:spacing w:line="197" w:lineRule="auto" w:before="57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 MATERIAIS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 Tubo PVC OCRE DN 100 mm (barra de 6 m), utilizado para transporte de esgoto sanitário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coletoras, devendo atender as normas - NBR-7362-1: 1999 - Sistemas enterrados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condução de esgoto. Parte 1: Requisitos para tubos de PVC com junta elástica; Parte 2: Requisitos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9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tubos de PVC com parede maciça; Parte 3: Requisitos para tubos de PVC com dupla Parede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parte 4. </w:t>
      </w:r>
    </w:p>
    <w:p>
      <w:pPr>
        <w:autoSpaceDN w:val="0"/>
        <w:autoSpaceDE w:val="0"/>
        <w:widowControl/>
        <w:spacing w:line="245" w:lineRule="auto" w:before="348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2.2. Anel borracha JE OCRE DN 100 mm, garante total estanqueidade e excelente desempenho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unindo versatilidade de um sistema removível para as diversas necessidades dos projetos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infraestrutura. Para tubos de PVC deve atender as prescrições da NBR 7362 – 1. </w:t>
      </w:r>
    </w:p>
    <w:p>
      <w:pPr>
        <w:autoSpaceDN w:val="0"/>
        <w:autoSpaceDE w:val="0"/>
        <w:widowControl/>
        <w:spacing w:line="245" w:lineRule="auto" w:before="348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2.3. Selim PVC ELAST OCRE DN 150 x 100 mm, tem a função de interligar os ramais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prediais, condôminas e até despejos industriais às redes coletoras. Devendo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NBR 10569.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2.4. Curva longa PVC OCRE 45° PB JEI DN 100 mm, destinada à mudança de direção da tubulação.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Atendendo a NBR 10569. </w:t>
      </w:r>
    </w:p>
    <w:p>
      <w:pPr>
        <w:autoSpaceDN w:val="0"/>
        <w:autoSpaceDE w:val="0"/>
        <w:widowControl/>
        <w:spacing w:line="245" w:lineRule="auto" w:before="348" w:after="1764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2.5. Tubo PVC BBB JE OCRE DN 100mm. Denominado tubo de inspeção e limpeza (Til) é uma peça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radial no passeio, provido de tampa. A execução do Til não desobriga a necessidade de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caixa de inspeção da ligação.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4.0" w:type="dxa"/>
      </w:tblPr>
      <w:tblGrid>
        <w:gridCol w:w="3009"/>
        <w:gridCol w:w="3009"/>
        <w:gridCol w:w="3009"/>
      </w:tblGrid>
      <w:tr>
        <w:trPr>
          <w:trHeight w:hRule="exact" w:val="1240"/>
        </w:trPr>
        <w:tc>
          <w:tcPr>
            <w:tcW w:type="dxa" w:w="3970"/>
            <w:tcBorders>
              <w:start w:sz="3.2000000000000455" w:val="single" w:color="#211F1F"/>
              <w:top w:sz="3.199999999999818" w:val="single" w:color="#211F1F"/>
              <w:end w:sz="3.199999999999818" w:val="single" w:color="#211F1F"/>
              <w:bottom w:sz="3.199999999999818" w:val="single" w:color="#21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Tipo</w:t>
            </w:r>
          </w:p>
        </w:tc>
        <w:tc>
          <w:tcPr>
            <w:tcW w:type="dxa" w:w="2552"/>
            <w:tcBorders>
              <w:start w:sz="3.199999999999818" w:val="single" w:color="#211F1F"/>
              <w:top w:sz="3.199999999999818" w:val="single" w:color="#211F1F"/>
              <w:end w:sz="3.199999999999818" w:val="single" w:color="#211F1F"/>
              <w:bottom w:sz="3.199999999999818" w:val="single" w:color="#21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Ramo de Atividade</w:t>
            </w:r>
          </w:p>
        </w:tc>
        <w:tc>
          <w:tcPr>
            <w:tcW w:type="dxa" w:w="2558"/>
            <w:tcBorders>
              <w:start w:sz="3.199999999999818" w:val="single" w:color="#211F1F"/>
              <w:top w:sz="3.199999999999818" w:val="single" w:color="#211F1F"/>
              <w:end w:sz="3.199999999999818" w:val="single" w:color="#211F1F"/>
              <w:bottom w:sz="3.199999999999818" w:val="single" w:color="#21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Desenho de Referência</w:t>
            </w:r>
          </w:p>
        </w:tc>
      </w:tr>
      <w:tr>
        <w:trPr>
          <w:trHeight w:hRule="exact" w:val="2048"/>
        </w:trPr>
        <w:tc>
          <w:tcPr>
            <w:tcW w:type="dxa" w:w="3970"/>
            <w:tcBorders>
              <w:start w:sz="3.2000000000000455" w:val="single" w:color="#211F1F"/>
              <w:top w:sz="3.199999999999818" w:val="single" w:color="#211F1F"/>
              <w:end w:sz="3.199999999999818" w:val="single" w:color="#211F1F"/>
              <w:bottom w:sz="3.199999999999818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Detalhe da Ligação Terço ou eixo</w:t>
            </w:r>
          </w:p>
        </w:tc>
        <w:tc>
          <w:tcPr>
            <w:tcW w:type="dxa" w:w="2552"/>
            <w:tcBorders>
              <w:start w:sz="3.199999999999818" w:val="single" w:color="#211F1F"/>
              <w:top w:sz="3.199999999999818" w:val="single" w:color="#211F1F"/>
              <w:end w:sz="3.199999999999818" w:val="single" w:color="#211F1F"/>
              <w:bottom w:sz="3.199999999999818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Todas</w:t>
            </w:r>
          </w:p>
        </w:tc>
        <w:tc>
          <w:tcPr>
            <w:tcW w:type="dxa" w:w="2558"/>
            <w:tcBorders>
              <w:start w:sz="3.199999999999818" w:val="single" w:color="#211F1F"/>
              <w:top w:sz="3.199999999999818" w:val="single" w:color="#211F1F"/>
              <w:end w:sz="3.199999999999818" w:val="single" w:color="#211F1F"/>
              <w:bottom w:sz="3.199999999999818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Figura 4</w:t>
            </w:r>
          </w:p>
        </w:tc>
      </w:tr>
      <w:tr>
        <w:trPr>
          <w:trHeight w:hRule="exact" w:val="2322"/>
        </w:trPr>
        <w:tc>
          <w:tcPr>
            <w:tcW w:type="dxa" w:w="3970"/>
            <w:tcBorders>
              <w:start w:sz="3.2000000000000455" w:val="single" w:color="#211F1F"/>
              <w:top w:sz="3.199999999999818" w:val="single" w:color="#211F1F"/>
              <w:end w:sz="3.199999999999818" w:val="single" w:color="#211F1F"/>
              <w:bottom w:sz="2.4000000000005457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Detalhe da Ligação no passeio</w:t>
            </w:r>
          </w:p>
        </w:tc>
        <w:tc>
          <w:tcPr>
            <w:tcW w:type="dxa" w:w="2552"/>
            <w:tcBorders>
              <w:start w:sz="3.199999999999818" w:val="single" w:color="#211F1F"/>
              <w:top w:sz="3.199999999999818" w:val="single" w:color="#211F1F"/>
              <w:end w:sz="3.199999999999818" w:val="single" w:color="#211F1F"/>
              <w:bottom w:sz="2.4000000000005457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Todas</w:t>
            </w:r>
          </w:p>
        </w:tc>
        <w:tc>
          <w:tcPr>
            <w:tcW w:type="dxa" w:w="2558"/>
            <w:tcBorders>
              <w:start w:sz="3.199999999999818" w:val="single" w:color="#211F1F"/>
              <w:top w:sz="3.199999999999818" w:val="single" w:color="#211F1F"/>
              <w:end w:sz="3.199999999999818" w:val="single" w:color="#211F1F"/>
              <w:bottom w:sz="2.4000000000005457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Figura 5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1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496" w:after="876"/>
        <w:ind w:left="0" w:right="303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4: Detalhe da ligação de esgoto no terço ou eixo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4.0" w:type="dxa"/>
      </w:tblPr>
      <w:tblGrid>
        <w:gridCol w:w="9028"/>
      </w:tblGrid>
      <w:tr>
        <w:trPr>
          <w:trHeight w:hRule="exact" w:val="11204"/>
        </w:trPr>
        <w:tc>
          <w:tcPr>
            <w:tcW w:type="dxa" w:w="8846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1060450</wp:posOffset>
                  </wp:positionH>
                  <wp:positionV relativeFrom="page">
                    <wp:posOffset>2573020</wp:posOffset>
                  </wp:positionV>
                  <wp:extent cx="5609590" cy="7104380"/>
                  <wp:wrapNone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71043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3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496" w:after="596"/>
        <w:ind w:left="0" w:right="331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5: Detalhe da ligação de esgoto no passeio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9028"/>
      </w:tblGrid>
      <w:tr>
        <w:trPr>
          <w:trHeight w:hRule="exact" w:val="10968"/>
        </w:trPr>
        <w:tc>
          <w:tcPr>
            <w:tcW w:type="dxa" w:w="908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993140</wp:posOffset>
                  </wp:positionH>
                  <wp:positionV relativeFrom="page">
                    <wp:posOffset>2442210</wp:posOffset>
                  </wp:positionV>
                  <wp:extent cx="5637530" cy="6865619"/>
                  <wp:wrapNone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7530" cy="686561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7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40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320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