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324, DE 18 DE NOVEMBRO DE 2019 </w:t>
      </w:r>
    </w:p>
    <w:p>
      <w:pPr>
        <w:autoSpaceDN w:val="0"/>
        <w:autoSpaceDE w:val="0"/>
        <w:widowControl/>
        <w:spacing w:line="245" w:lineRule="auto" w:before="1232" w:after="0"/>
        <w:ind w:left="5670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as alíquotas, metodologias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apuração e forma de repasse dos valores da Taxa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Regulação e Fiscalização referente ao Exercício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2020, cobrada pela ARES-PCJ junto aos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prestadores de serviços de água e esgoto e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limpeza urbana e manejo de resíduos sólidos em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municípios consorciados e conveniados,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122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incisos I, II e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29, incisos 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e III, do Estatuto Social da Agência Reguladora 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conforme o inciso XV, da Cláusula 20ª, do Protocolo de Intenções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compete à Assembleia Geral deliberar sobre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fixação, revisão e reajuste dos valores das taxas e tarifas e outros preços públicos, referentes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 serviços prestados pela Agência Reguladora 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68ª do Protocolo de Intenções da ARES-PCJ trata do fato gerador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que tem, como sujeitos passivos, os prestadores de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saneamento básico, no âmbito dos municípios associados (consorciados e conveniados); </w:t>
      </w:r>
    </w:p>
    <w:p>
      <w:pPr>
        <w:autoSpaceDN w:val="0"/>
        <w:autoSpaceDE w:val="0"/>
        <w:widowControl/>
        <w:spacing w:line="245" w:lineRule="auto" w:before="344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§ 2º, da Cláusula 69ª do Protocolo de Intenções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prevê que a alíquota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de Regulação e Fiscalização poderá ser revista, observados critérios técnicos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PCJ; </w:t>
      </w:r>
    </w:p>
    <w:p>
      <w:pPr>
        <w:autoSpaceDN w:val="0"/>
        <w:autoSpaceDE w:val="0"/>
        <w:widowControl/>
        <w:spacing w:line="245" w:lineRule="auto" w:before="344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4º do Art. 58, do Estatuto Social da ARES-PCJ, define que a alíquota, a metodologia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apuração e forma de repasse do valor referente à Taxa de Regulação e Fiscalização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em Resolução específica da ARES-PCJ;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8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324 – 18/11/2019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municípios associados à ARES-PCJ há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que utilizam a Contabilidade Pública (prefeituras e autarquias municipais), e que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há prestadores que utilizam a Contabilidade Comercial (empresas privadas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 mista); </w:t>
      </w:r>
    </w:p>
    <w:p>
      <w:pPr>
        <w:autoSpaceDN w:val="0"/>
        <w:autoSpaceDE w:val="0"/>
        <w:widowControl/>
        <w:spacing w:line="245" w:lineRule="auto" w:before="344" w:after="0"/>
        <w:ind w:left="1416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municípios associados à ARES-PCJ há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que atuam através de contratos de concessão com cláusulas específicas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da Taxa de Regulação e Fiscalização; </w:t>
      </w:r>
    </w:p>
    <w:p>
      <w:pPr>
        <w:autoSpaceDN w:val="0"/>
        <w:autoSpaceDE w:val="0"/>
        <w:widowControl/>
        <w:spacing w:line="245" w:lineRule="auto" w:before="346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 17ª Assembleia Geral Ordinária da ARES-PCJ, realizada em 31 de outubro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e aprovada proposta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alíquotas da Taxa de Regulação e Fiscalização,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 cobrada dos prestadores dos serviços água e esgoto e de limpeza urbana e manejo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sólidos, no âmbito dos municípios associados à ARES-PCJ, para o Exercício de 2020;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com base na proposta aprovada na 17ª Assembleia Geral Ordinária da ARES-PCJ e, a fim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definir as alíquotas, metodologia de cálculo e forma de repasse da Taxa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- Exercício 2020, a Diretoria Executiva da Agência Reguladora PCJ, reunida em 14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novembro de 2019,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a alíquota da Taxa de Regulação e Fiscalização referente ao Exercício de 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cobrada pela ARES-PCJ, junto aos prestadores dos serviços de saneamento, sendo: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/>
          <w:i w:val="0"/>
          <w:color w:val="000000"/>
          <w:sz w:val="24"/>
        </w:rPr>
        <w:t>Serviços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(Abastecimento de Água e Esgotamento Sanitário);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/>
          <w:i w:val="0"/>
          <w:color w:val="000000"/>
          <w:sz w:val="24"/>
        </w:rPr>
        <w:t>Serviços de Resíduos Sólidos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(Limpeza Urbana e Manejo de Resíduos Sólidos).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 alíquota da Taxa de Regulação e Fiscalização - Exercício de 2020, para os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Serviços </w:t>
      </w:r>
      <w:r>
        <w:rPr>
          <w:rFonts w:ascii="Calibri" w:hAnsi="Calibri" w:eastAsia="Calibri"/>
          <w:b/>
          <w:i w:val="0"/>
          <w:color w:val="000000"/>
          <w:sz w:val="24"/>
        </w:rPr>
        <w:t>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será de </w:t>
      </w:r>
      <w:r>
        <w:rPr>
          <w:rFonts w:ascii="Calibri" w:hAnsi="Calibri" w:eastAsia="Calibri"/>
          <w:b/>
          <w:i w:val="0"/>
          <w:color w:val="000000"/>
          <w:sz w:val="24"/>
        </w:rPr>
        <w:t>0,25% (vinte e cinco centésimos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das receitas apuradas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prestadores desses serviços referentes ao Exercício Anterior, inclusive para todos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contratos de concessão desses serviços, mesmo que estes prevejam alíquotas diferentes.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metodologia de cálculo do valor da Taxa de Regulação e Fiscalização se dará em função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natureza jurídica do prestador e o seu regime contábil, podendo ser: </w:t>
      </w:r>
    </w:p>
    <w:p>
      <w:pPr>
        <w:autoSpaceDN w:val="0"/>
        <w:autoSpaceDE w:val="0"/>
        <w:widowControl/>
        <w:spacing w:line="197" w:lineRule="auto" w:before="34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Contabilidade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(Regime Contábil de Caixa); </w:t>
      </w:r>
    </w:p>
    <w:p>
      <w:pPr>
        <w:autoSpaceDN w:val="0"/>
        <w:autoSpaceDE w:val="0"/>
        <w:widowControl/>
        <w:spacing w:line="197" w:lineRule="auto" w:before="3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/>
          <w:i w:val="0"/>
          <w:color w:val="000000"/>
          <w:sz w:val="24"/>
        </w:rPr>
        <w:t>Contabilidade Comercial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(Regime Contábil de Competência). </w:t>
      </w:r>
    </w:p>
    <w:p>
      <w:pPr>
        <w:autoSpaceDN w:val="0"/>
        <w:autoSpaceDE w:val="0"/>
        <w:widowControl/>
        <w:spacing w:line="245" w:lineRule="auto" w:before="344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Para o prestador dos serviços de água e esgoto que utiliza a </w:t>
      </w:r>
      <w:r>
        <w:rPr>
          <w:rFonts w:ascii="Calibri" w:hAnsi="Calibri" w:eastAsia="Calibri"/>
          <w:b/>
          <w:i w:val="0"/>
          <w:color w:val="000000"/>
          <w:sz w:val="24"/>
        </w:rPr>
        <w:t>Contabilidade Pública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Regime Contábil de Caixa, o valor a ser apurado da Taxa de Regulação e Fiscalização terá como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6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324 – 18/11/2019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o total das Receitas Correntes do Exercício Anterior, subtraído o total das Receitas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Patrimoniais, e será calculado pela seguinte expressão matemática: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TR = (RC - RP) x Alíquota </w:t>
      </w:r>
    </w:p>
    <w:p>
      <w:pPr>
        <w:autoSpaceDN w:val="0"/>
        <w:autoSpaceDE w:val="0"/>
        <w:widowControl/>
        <w:spacing w:line="245" w:lineRule="auto" w:before="344" w:after="0"/>
        <w:ind w:left="2124" w:right="5040" w:hanging="70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TR = Taxa de Regulação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RC = Receita Corrente do Exercício Anterior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RP = Receita Patrimonial do Exercício Anterior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Alíquota = 0,0025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Para o prestador dos serviços de água e esgoto que utiliza a </w:t>
      </w:r>
      <w:r>
        <w:rPr>
          <w:rFonts w:ascii="Calibri" w:hAnsi="Calibri" w:eastAsia="Calibri"/>
          <w:b/>
          <w:i w:val="0"/>
          <w:color w:val="000000"/>
          <w:sz w:val="24"/>
        </w:rPr>
        <w:t>Contabilidade Comercial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Regime Contábil de Competência, o valor a ser apurado da Taxa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terá como base o total da Receita Operacional Líquida do Exercício Anterior e será calculado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seguinte expressão matemática: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TR = ROL x Alíquota </w:t>
      </w:r>
    </w:p>
    <w:p>
      <w:pPr>
        <w:autoSpaceDN w:val="0"/>
        <w:autoSpaceDE w:val="0"/>
        <w:widowControl/>
        <w:spacing w:line="245" w:lineRule="auto" w:before="344" w:after="0"/>
        <w:ind w:left="2124" w:right="4176" w:hanging="70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TR = Taxa de Regulação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ROL = Receita Operacional Líquida do Exercício Anterior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Alíquota = 0,0025 </w:t>
      </w:r>
    </w:p>
    <w:p>
      <w:pPr>
        <w:autoSpaceDN w:val="0"/>
        <w:autoSpaceDE w:val="0"/>
        <w:widowControl/>
        <w:spacing w:line="245" w:lineRule="auto" w:before="34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O valor total apurado a ser pago de Taxa de Regulação e Fiscalização pelo prestador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será dividido em 10 (dez) parcelas mensais iguais e sequenciais repassadas todo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 (dez) de cada mês, com o vencimento da primeira parcela no mês de fevereiro de 2020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as datas dos vencimentos coincidirem com sábado, domingo ou feriado, esse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ficará prorrogado automaticamente para o primeiro dia útil subsequente.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 alíquota da Taxa de Regulação e Fiscalização - Exercício de 2020, para os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Serviços </w:t>
      </w:r>
      <w:r>
        <w:rPr>
          <w:rFonts w:ascii="Calibri" w:hAnsi="Calibri" w:eastAsia="Calibri"/>
          <w:b/>
          <w:i w:val="0"/>
          <w:color w:val="000000"/>
          <w:sz w:val="24"/>
        </w:rPr>
        <w:t>de Resíduos Sólidos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será de </w:t>
      </w:r>
      <w:r>
        <w:rPr>
          <w:rFonts w:ascii="Calibri" w:hAnsi="Calibri" w:eastAsia="Calibri"/>
          <w:b/>
          <w:i w:val="0"/>
          <w:color w:val="000000"/>
          <w:sz w:val="24"/>
        </w:rPr>
        <w:t>0,00% (zero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ou seja, não haverá cobrança, exceto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os municípios de: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Piracicaba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(Prefeitura Municipal);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Nova Odessa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(CODEN).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4º - Para o Município de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Piracicaba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alíquota da Taxa de Regulação e Fiscalização dos </w:t>
      </w:r>
      <w:r>
        <w:rPr>
          <w:rFonts w:ascii="Calibri" w:hAnsi="Calibri" w:eastAsia="Calibri"/>
          <w:b/>
          <w:i w:val="0"/>
          <w:color w:val="000000"/>
          <w:sz w:val="24"/>
        </w:rPr>
        <w:t>Serviços de Resíduos Sólidos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de 1,00% (um inteiro por cento), da contraprestação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será repassada mensalmente pela Prefeitura Municipal de Piracicaba à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disposto no Contrato de Parceria Público-Privada e em seus aditivos. </w:t>
      </w:r>
    </w:p>
    <w:p>
      <w:pPr>
        <w:autoSpaceDN w:val="0"/>
        <w:autoSpaceDE w:val="0"/>
        <w:widowControl/>
        <w:spacing w:line="245" w:lineRule="auto" w:before="35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valor apurado da Taxa de Regulação e Fiscalização a ser pago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Piracicaba à ARES-PCJ será repassado todo dia 10 (dez) de cada mês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caso as datas dos vencimentos coincidirem com sábado, domingo ou feriado, 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ficará prorrogado automaticamente para o primeiro dia útil subsequente.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6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324 – 18/11/2019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5º - Para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</w:t>
      </w:r>
      <w:r>
        <w:rPr>
          <w:rFonts w:ascii="Calibri" w:hAnsi="Calibri" w:eastAsia="Calibri"/>
          <w:b/>
          <w:i w:val="0"/>
          <w:color w:val="000000"/>
          <w:sz w:val="24"/>
        </w:rPr>
        <w:t>Nova Odessa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alíquota da Taxa de Regulação e Fiscalização dos </w:t>
      </w:r>
      <w:r>
        <w:rPr>
          <w:rFonts w:ascii="Calibri" w:hAnsi="Calibri" w:eastAsia="Calibri"/>
          <w:b/>
          <w:i w:val="0"/>
          <w:color w:val="000000"/>
          <w:sz w:val="24"/>
        </w:rPr>
        <w:t>Serviços de Resíduos Sólidos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de 0,50% (cinquenta centésimos por cento), das receitas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apuradas pela CODEN – Companhia de Desenvolvimento de Nova Odessa, com esses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especificamente, durante o Exercício de 2019. </w:t>
      </w:r>
    </w:p>
    <w:p>
      <w:pPr>
        <w:autoSpaceDN w:val="0"/>
        <w:autoSpaceDE w:val="0"/>
        <w:widowControl/>
        <w:spacing w:line="245" w:lineRule="auto" w:before="344" w:after="0"/>
        <w:ind w:left="1416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valor total apurado a ser pago de Taxa de Regulação e Fiscalização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CODEN à ARES-PCJ será dividido em 9 (nove) parcelas mensais iguais e sequenciais repassadas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 dia 10 (dez) de cada mês, com o vencimento da primeira parcela no mês de abril de 2020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caso as datas dos vencimentos coincidirem com sábado, domingo ou feriado, 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ficará prorrogado automaticamente para o primeiro dia útil subsequente. </w:t>
      </w:r>
    </w:p>
    <w:p>
      <w:pPr>
        <w:autoSpaceDN w:val="0"/>
        <w:autoSpaceDE w:val="0"/>
        <w:widowControl/>
        <w:spacing w:line="245" w:lineRule="auto" w:before="346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repasses referentes à Taxa de Regulação e Fiscalização - Exercício 2020,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efetuados através de depósitos bancários realizados pelos prestadores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em favor da ARES-PCJ, ou através de boletos bancários, a critério da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Executiva. </w:t>
      </w:r>
    </w:p>
    <w:p>
      <w:pPr>
        <w:autoSpaceDN w:val="0"/>
        <w:autoSpaceDE w:val="0"/>
        <w:widowControl/>
        <w:spacing w:line="245" w:lineRule="auto" w:before="34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Para fins de comprovação do valor correspondente à Taxa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Exercício 2020, os prestadores de serviços públicos de saneamento básico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encaminhar para a ARES-PCJ seus respectivos balanços contábeis, referentes ao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2019, tão logo estes forem elaborados e publicados.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502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324 – 18/11/2019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40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