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8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345, DE 23 DE MARÇO DE 2020 </w:t>
      </w:r>
    </w:p>
    <w:p>
      <w:pPr>
        <w:autoSpaceDN w:val="0"/>
        <w:autoSpaceDE w:val="0"/>
        <w:widowControl/>
        <w:spacing w:line="245" w:lineRule="auto" w:before="642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as Condições Gerais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Abastecimento de Água Tratada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de Esgotamento Sanitário, no âmbito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associados à Agência Reguladora PCJ,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durante o período de excepcionalidade, emergencial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atípico, para enfrentamento da pandemia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COVID-19,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do Artigo 28, inciso III,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seus 58 (cinquenta e oito) municípios associados; </w:t>
      </w:r>
    </w:p>
    <w:p>
      <w:pPr>
        <w:autoSpaceDN w:val="0"/>
        <w:autoSpaceDE w:val="0"/>
        <w:widowControl/>
        <w:spacing w:line="245" w:lineRule="auto" w:before="348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dos Serviços de Saneamento Básico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sobrevivência de usuários e prestadores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já determinadas pelas autoridades sanitárias e pelos poderes executivos nos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níveis de governo, as quais impossibilitam a manutenção das atividades normais de trabalho;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11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aplicação de alguns dispositivos normativos (resoluções) emitidos por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precisam ser suspensos temporariamente, em virtude da referida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calamidade pública; </w:t>
      </w:r>
    </w:p>
    <w:p>
      <w:pPr>
        <w:autoSpaceDN w:val="0"/>
        <w:autoSpaceDE w:val="0"/>
        <w:widowControl/>
        <w:spacing w:line="245" w:lineRule="auto" w:before="344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é questão condicionante à validade de todas as ações descritas nesta Resolução que 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(Poder Executivo Municipal) decrete o estado de calamidade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normativa própria, sem a qual as ações temporárias aqui descritas não têm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respectivo prestador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período de excepcionalidade, emergencial e atípico para enfrentamento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pandemia de COVID-19 (novo Coronavírus), a Diretoria Executiva da ARES-PCJ, reunida em 23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2020,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de prestação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e de esgotamento sanitário, a ser aplicada pelos prestadores desses serviços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Agência Reguladora PCJ com decreto de estado de calamidade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abrangente também ao setor de saneamento, em face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COVID-19.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5472" w:right="518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as condições gerais de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de esgotamento sanitário, a ser aplicada pelos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serviços dos municípios associados à Agência Reguladora PCJ com decreto de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calamidade pública, abrangente também ao setor de saneamento, em face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COVID-19. </w:t>
      </w:r>
    </w:p>
    <w:p>
      <w:pPr>
        <w:autoSpaceDN w:val="0"/>
        <w:autoSpaceDE w:val="0"/>
        <w:widowControl/>
        <w:spacing w:line="245" w:lineRule="auto" w:before="636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PRERROGATIVAS DO TÍTULAR </w:t>
      </w:r>
    </w:p>
    <w:p>
      <w:pPr>
        <w:autoSpaceDN w:val="0"/>
        <w:autoSpaceDE w:val="0"/>
        <w:widowControl/>
        <w:spacing w:line="245" w:lineRule="auto" w:before="35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Decretado estado de calamidade pública municipal, fica assegurado ao Poder Executivo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exercer suas prerrogativas de titular dos serviços de saneamento, conforme itens 1.1, 1.2 e 1.3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Nota Técnica, Anexo I desta Resolução, sendo elas: 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suspensão dos de processo de reajuste em trâmite na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dos atuais processos de reajustes tarifários em curso na ARES-PCJ e de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protocolos de reajustes, durante o período de vigência da presente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348, de 23/06/2020)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isenção de tarifas de água e esgoto a categorias (tarifa social, por exemplo);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de corte por inadimplência;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prorrogação de vencimentos de contas em período de isolamento social; 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regras especiais para pagamento.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especiais para faturamento e pagamento.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>348, de 23/06/2020)</w:t>
      </w:r>
    </w:p>
    <w:p>
      <w:pPr>
        <w:autoSpaceDN w:val="0"/>
        <w:autoSpaceDE w:val="0"/>
        <w:widowControl/>
        <w:spacing w:line="245" w:lineRule="auto" w:before="640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DIRETRIZES OPERACIONAIS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Os princípios básicos da prestação de serviços de abastecimento de água tratada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tais como qualidade, regularidade e segurança, são invioláveis e devem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mantidos mesmo que em períodos de crise sanitária e calamidade, com o atendimento pleno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Padrão de Potabilidade, estabelecido pelo Anexo XX da Portaria de Consolidação nº 5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da Saúde, e aos critérios de lançamento de efluentes tratados, apresentados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8.468/1976, conforme item 2.1 da Nota Técnica,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4º. O prestador de serviços de saneamento básico, a seu critério, poderá deliberar sobre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leituras do consumo de água através da utilização de média registrada no histórico de leituras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fora do intervalo previsto no art. 87, §1º da Resolução ARES-PCJ nº 50/2014, durante o período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enfrentamento da pandemia de COVID-19 e decretação de estado de calamidade no âmbito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municipal, conforme item 2.2 da Nota Técnica, Anexo I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prestador de serviços de saneamento básico, a seu critério, poderá deliberar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do consumo de água através da utilização de média registrada no histórico de leituras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 do intervalo previsto no art. 87, §1º da Resolução ARES-PCJ nº 50/2014, durante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enfrentamento da pandemia de COVID-19 e decretação de estado de calamidade no âmbito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conforme item 2.2 da Nota Técnica, Anexo I desta Resolução, desde que a prática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implique em ônus excessivo ao usuário, independentemente de demanda do consumidor.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348, de 23/06/2020)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realização de faturamento pela média deve ser amplamente divulgada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através de seu sítio eletrônico na Internet e redes sociais, informando critérios e canais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 ao usuário em caso de dúvidas.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348, </w:t>
      </w:r>
      <w:r>
        <w:rPr>
          <w:rFonts w:ascii="Calibri" w:hAnsi="Calibri" w:eastAsia="Calibri"/>
          <w:b w:val="0"/>
          <w:i/>
          <w:color w:val="000000"/>
          <w:sz w:val="24"/>
        </w:rPr>
        <w:t>de 23/06/2020)</w:t>
      </w:r>
    </w:p>
    <w:p>
      <w:pPr>
        <w:autoSpaceDN w:val="0"/>
        <w:autoSpaceDE w:val="0"/>
        <w:widowControl/>
        <w:spacing w:line="245" w:lineRule="auto" w:before="35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realização de faturamento por autoleitura é incentivada e deverá ser regulamentada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e amplamente divulgada aos usuários, com a definição de canal específico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telefone ou correio eletrônica (e-mail) e com capacidade suficiente para absorver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348, de 23/06/2020)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No caso de faturamento a menor ou ausência de faturamento, o Prestador de Serviços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efetuar cobrança complementar, nos termos dos artigos 92 e 93 da Resolução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nº 50/2014.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 348, de 23/06/2020)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de faturamento a menor, a diferença entre os valores faturados e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devidos, poderá ser parcelada pelo prestador, desde que o número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seja igual ao número de meses em que o faturamento foi efetuado pela média,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alteração do banco de dados.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352, de </w:t>
      </w:r>
      <w:r>
        <w:rPr>
          <w:rFonts w:ascii="Calibri" w:hAnsi="Calibri" w:eastAsia="Calibri"/>
          <w:b w:val="0"/>
          <w:i/>
          <w:color w:val="000000"/>
          <w:sz w:val="24"/>
        </w:rPr>
        <w:t>20/08/2020)</w:t>
      </w:r>
    </w:p>
    <w:p>
      <w:pPr>
        <w:autoSpaceDN w:val="0"/>
        <w:autoSpaceDE w:val="0"/>
        <w:widowControl/>
        <w:spacing w:line="245" w:lineRule="auto" w:before="34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No caso de faturamento a maior, a diferença entre os valores faturados e aqueles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efetivamente devidos, poderá ser creditada nas próximas faturas em período proporcional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mesmo período em que não houve leitura, isenta de juros e correção monetária, com respectiva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alteração do banco de dados.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 xml:space="preserve"> (Redação dada pela Resolução ARES-PCJ nº 348, de 23/06/2020)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No caso de faturamento a maior, a diferença entre os valores faturados e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devidos, poderá ser creditada nas próximas faturas em período proporcional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período em que não houve leitura, com respectiva alteração do banco de dados.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352, de 20/08/2020)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 É vedado o lançamento das faturas de forma cumulativa aos períodos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faturados pela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 incidência de juros e multa.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352, de </w:t>
      </w:r>
      <w:r>
        <w:rPr>
          <w:rFonts w:ascii="Calibri" w:hAnsi="Calibri" w:eastAsia="Calibri"/>
          <w:b w:val="0"/>
          <w:i/>
          <w:color w:val="000000"/>
          <w:sz w:val="24"/>
        </w:rPr>
        <w:t>20/08/2020)</w:t>
      </w:r>
    </w:p>
    <w:p>
      <w:pPr>
        <w:autoSpaceDN w:val="0"/>
        <w:autoSpaceDE w:val="0"/>
        <w:widowControl/>
        <w:spacing w:line="245" w:lineRule="auto" w:before="636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GESTÃO ADMINISTRATIVA E EMPRESARIAL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Decretado estado de calamidade pública municipal, 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através de ato administrativo, definirá os mecanismos e métodos a serem adotados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 saúde e segurança de seus funcionários e quanto ao atendimento presencial e remoto,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itens 3.1 e 3.2 da Nota Técnica, Anexo I desta Resolução. </w:t>
      </w:r>
    </w:p>
    <w:p>
      <w:pPr>
        <w:autoSpaceDN w:val="0"/>
        <w:autoSpaceDE w:val="0"/>
        <w:widowControl/>
        <w:spacing w:line="245" w:lineRule="auto" w:before="640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RELACIONAMENTO COM A AGÊNCIA REGULADORA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As avenças firmadas por Compromissos de Ajustamento de Conduta (CAC) com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e os itens descritos no respectivo instrumento terão seus prazos dilatados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duração do estado de calamidade, conforme item 4 da Nota Técnica,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640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CONSELHO DE REGULAÇÃO E CONTROLE SOCIAL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 Controle Social, tipificado nos termos do artigo 47 da Lei Federal nº 11.445/2007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regulamentado pela Resolução ARES-PCJ nº 01/2011, será exercido na forma digital e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especialmente representado pelos membros dos Conselhos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(CRCS) através de videoconferência ou manifestações virtuais. </w:t>
      </w:r>
    </w:p>
    <w:p>
      <w:pPr>
        <w:autoSpaceDN w:val="0"/>
        <w:autoSpaceDE w:val="0"/>
        <w:widowControl/>
        <w:spacing w:line="245" w:lineRule="auto" w:before="32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Esta Resolução entrará em vigor na data de sua publicação pelo período de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prorrogáveis por critério da Diretoria Executiva da ARES-PCJ.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103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53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ANEXO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 </w:t>
      </w:r>
    </w:p>
    <w:p>
      <w:pPr>
        <w:autoSpaceDN w:val="0"/>
        <w:autoSpaceDE w:val="0"/>
        <w:widowControl/>
        <w:spacing w:line="197" w:lineRule="auto" w:before="348" w:after="0"/>
        <w:ind w:left="0" w:right="33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NOTA</w:t>
      </w:r>
      <w:r>
        <w:rPr>
          <w:rFonts w:ascii="Calibri" w:hAnsi="Calibri" w:eastAsia="Calibri"/>
          <w:b/>
          <w:i w:val="0"/>
          <w:color w:val="000000"/>
          <w:sz w:val="24"/>
        </w:rPr>
        <w:t>TÉCNICA</w:t>
      </w:r>
      <w:r>
        <w:rPr>
          <w:rFonts w:ascii="Calibri" w:hAnsi="Calibri" w:eastAsia="Calibri"/>
          <w:b/>
          <w:i w:val="0"/>
          <w:color w:val="000000"/>
          <w:sz w:val="24"/>
        </w:rPr>
        <w:t>DIRETORIA</w:t>
      </w:r>
      <w:r>
        <w:rPr>
          <w:rFonts w:ascii="Calibri" w:hAnsi="Calibri" w:eastAsia="Calibri"/>
          <w:b/>
          <w:i w:val="0"/>
          <w:color w:val="000000"/>
          <w:sz w:val="24"/>
        </w:rPr>
        <w:t>EXECUTIVA</w:t>
      </w:r>
      <w:r>
        <w:rPr>
          <w:rFonts w:ascii="Calibri" w:hAnsi="Calibri" w:eastAsia="Calibri"/>
          <w:b/>
          <w:i w:val="0"/>
          <w:color w:val="000000"/>
          <w:sz w:val="24"/>
        </w:rPr>
        <w:t>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01/2020 </w:t>
      </w:r>
    </w:p>
    <w:p>
      <w:pPr>
        <w:autoSpaceDN w:val="0"/>
        <w:autoSpaceDE w:val="0"/>
        <w:widowControl/>
        <w:spacing w:line="245" w:lineRule="auto" w:before="344" w:after="0"/>
        <w:ind w:left="1416" w:right="1090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pandemia de COVID-19 tem apresentado preocupante agravamento, pedindo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rápidas e eficazes respostas do poder público, tanto no enfrentamento médico, quanto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econômicas mitigadoras dos efeitos decorrentes da veloz propagação do vírus em curto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tempo. </w:t>
      </w:r>
    </w:p>
    <w:p>
      <w:pPr>
        <w:autoSpaceDN w:val="0"/>
        <w:tabs>
          <w:tab w:pos="2548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tocante ao saneamento básico, não são menores as preocupações, despontando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várias questões: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acesso continuado aos serviços públicos – pela própria essencialidade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– com segurança, qualidade e regularidade (art. 2º, inc. XI,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de prevenção e cuidados que devem ser tomadas com colaboradores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(como compatibilizar prestação de serviços e redução de exposição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econômicos impeditivos à supressão dos serviços por falta de falta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na vigência da calamidade pública. </w:t>
      </w:r>
    </w:p>
    <w:p>
      <w:pPr>
        <w:autoSpaceDN w:val="0"/>
        <w:tabs>
          <w:tab w:pos="2548" w:val="left"/>
        </w:tabs>
        <w:autoSpaceDE w:val="0"/>
        <w:widowControl/>
        <w:spacing w:line="245" w:lineRule="auto" w:before="344" w:after="0"/>
        <w:ind w:left="1416" w:right="100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presente Nota Técnica dividimos o entendimento firmado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 em quatro tópicos: </w:t>
      </w:r>
    </w:p>
    <w:p>
      <w:pPr>
        <w:autoSpaceDN w:val="0"/>
        <w:autoSpaceDE w:val="0"/>
        <w:widowControl/>
        <w:spacing w:line="245" w:lineRule="auto" w:before="344" w:after="596"/>
        <w:ind w:left="1416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Prerrogativas do Titular;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Operacionais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Administrativa e Empresarial dos Serviços Públicos;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com a Agência Reguladora.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4.0" w:type="dxa"/>
      </w:tblPr>
      <w:tblGrid>
        <w:gridCol w:w="9028"/>
      </w:tblGrid>
      <w:tr>
        <w:trPr>
          <w:trHeight w:hRule="exact" w:val="340"/>
        </w:trPr>
        <w:tc>
          <w:tcPr>
            <w:tcW w:type="dxa" w:w="95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PRERROGATIVA DO TITULAR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 Calamidade pública: competência para decretação e abrangência de seus efeitos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bem verdade que os entes federativos, sendo entidades autônomas, possuem certa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liberdade legislativa para organizar-se e editar normas de validade local, porém, adstritas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 da delegação feita pelo Poder Constituinte Originário, a fim de que não fique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descaracterizado o pacto federativo. A validade de tais atos praticados decorre da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Constituição Federal. </w:t>
      </w:r>
    </w:p>
    <w:p>
      <w:pPr>
        <w:autoSpaceDN w:val="0"/>
        <w:autoSpaceDE w:val="0"/>
        <w:widowControl/>
        <w:spacing w:line="245" w:lineRule="auto" w:before="350" w:after="0"/>
        <w:ind w:left="1416" w:right="1082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 sentido, “os Estados-membros se auto-organizam por meio do exercício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constituinte derivado-decorrente, consubstanciando-se na edição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Constituições Estaduais e, posteriormente, através de sua própria legislação (CF, art. 25,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8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sempre, porém, respeitando-se os princípios constitucionais sensíveis, princípios federais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>extensíveis e princípios constitucionais estabelecidos”</w:t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razão da dinâmica da vida e da imprevisibilidade de definir toda a gama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circunstâncias que pudessem ser enfrentadas pelo Poder Público e, mercê da sensibilidade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Legislador Constituinte, ficou impregnada no Texto a possibilidade de que, em circunstâncias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anômalas, excepcionais e que importassem grandes dificuldades, contrárias à ordem natural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coisas, pudesse ser reconhecido pelo Poder Público em determinadas situações de gravidade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perturbação, que demandassem grande comprometimento e aporte financeiro, autorizando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comportamento excepcional da própria Administração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6" w:right="1092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Pode-se dizer, assim que o estado de calamidade pública é o reconhecimento legal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uma situação excepcional e danosa dentro de determinado tempo e espaço, mas que, por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natureza, permite a adoção de medidas severas, coerentes e necessárias ao seu combate.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calamidade pública pode ser decretada quando existirem danos provenientes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fenômenos naturais, danos à saúde e aos serviços públicos em sua totalidade. Tem que 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demonstrado o impacto do desastre para a coletividade, não podendo ser apenas impacto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individual, e as necessidades relacionadas com recursos humanos, materiais, institucionais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financeiros.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 estado, os governantes podem contratar serviços, obras ou pessoas sem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licitação, desde que vinculados ao combate à calamidade pública, consoante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24, inc. IV, da Lei n° 8.666/93. Podem, também, receber recursos federais ou estaduais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estejam em débito com a União ou o Estado.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de atribuir competência aos Municípios para a decretação de calamidade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a Lei Federal nº 12.608/2012 regula condições de prevenção, mitigação, preparação,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resposta e recuperação voltadas à proteção e defesa civil, obviamente em condições ligadas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desastres naturais, mesmo daqueles provocados pela ação humana. </w:t>
      </w:r>
    </w:p>
    <w:p>
      <w:pPr>
        <w:autoSpaceDN w:val="0"/>
        <w:autoSpaceDE w:val="0"/>
        <w:widowControl/>
        <w:spacing w:line="245" w:lineRule="auto" w:before="348" w:after="0"/>
        <w:ind w:left="1416" w:right="1092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Portanto, há de ser considerado que, a partir desses elementos, é possível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estabelecer que o Texto Constitucional e as normas mencionadas ofertam claro sentido,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qual, por emergência ou calamidade pública, autorizativas às ações excepcionais, 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entendidas ocorrências atípicas, mas provocadas sobre a natureza, a exemplo de calamidades,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>acidentes ou catástrofes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1132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calamidade pública pode ter abrangência maior que o território de um município,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plenamente, por sua extensão, decreto estadual ou federal. No caso de COVID-19, por </w:t>
      </w:r>
    </w:p>
    <w:p>
      <w:pPr>
        <w:autoSpaceDN w:val="0"/>
        <w:autoSpaceDE w:val="0"/>
        <w:widowControl/>
        <w:spacing w:line="216" w:lineRule="auto" w:before="574" w:after="0"/>
        <w:ind w:left="1416" w:right="0" w:firstLine="0"/>
        <w:jc w:val="left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MORAES, Alexandre de.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Direito constitucional,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9. ed., São Paulo: Editora Atlas, 2001. p. 259. </w:t>
      </w:r>
    </w:p>
    <w:p>
      <w:pPr>
        <w:autoSpaceDN w:val="0"/>
        <w:autoSpaceDE w:val="0"/>
        <w:widowControl/>
        <w:spacing w:line="245" w:lineRule="auto" w:before="24" w:after="0"/>
        <w:ind w:left="1416" w:right="1094" w:firstLine="0"/>
        <w:jc w:val="both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2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MATEUS, Wilson Roberto.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A edição de decretos municipais reconhecendo emergência ou calamidade financeira (?) </w:t>
      </w:r>
      <w:r>
        <w:rPr>
          <w:rFonts w:ascii="Calibri" w:hAnsi="Calibri" w:eastAsia="Calibri"/>
          <w:b w:val="0"/>
          <w:i/>
          <w:color w:val="000000"/>
          <w:sz w:val="20"/>
        </w:rPr>
        <w:t>e a sua validade frente à sistemática do direito financeiro</w:t>
      </w:r>
      <w:r>
        <w:rPr>
          <w:rFonts w:ascii="Calibri" w:hAnsi="Calibri" w:eastAsia="Calibri"/>
          <w:b w:val="0"/>
          <w:i w:val="0"/>
          <w:color w:val="000000"/>
          <w:sz w:val="20"/>
        </w:rPr>
        <w:t>. Disponível em: &lt;</w:t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1" w:history="1">
          <w:r>
            <w:rPr>
              <w:rStyle w:val="Hyperlink"/>
            </w:rPr>
            <w:t>https://www4.tce.sp.gov.br/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ites/tcesp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/files/downloads/estado_de_emergencia_ou_calamidade_financeira.pdf&gt;. Acesso em 20 mar 2020. </w:t>
      </w:r>
    </w:p>
    <w:p>
      <w:pPr>
        <w:autoSpaceDN w:val="0"/>
        <w:autoSpaceDE w:val="0"/>
        <w:widowControl/>
        <w:spacing w:line="245" w:lineRule="auto" w:before="22" w:after="0"/>
        <w:ind w:left="1416" w:right="1008" w:firstLine="0"/>
        <w:jc w:val="left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3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MATEUS, Wilson Roberto.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A edição de decretos municipais reconhecendo emergência ou calamidade financeira (?) </w:t>
      </w:r>
      <w:r>
        <w:rPr>
          <w:rFonts w:ascii="Calibri" w:hAnsi="Calibri" w:eastAsia="Calibri"/>
          <w:b w:val="0"/>
          <w:i/>
          <w:color w:val="000000"/>
          <w:sz w:val="20"/>
        </w:rPr>
        <w:t>e a sua validade frente à sistemática do direito financeiro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Op. cit.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extensão, teve manifestação de todas as esferas, inclusive federal, com o Decreto Legislativo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6/2020, editado no dia 20 de março do corrente ano.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1.2. Decreto de calamidade pública e competência delegada ao ente regulador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Pergunta que se lança: o Decreto que reconhece a calamidade pública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como fundamento para reorganização temporária da prestação de serviços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comandos de gestão das atividades públicas, tais como alteração de data de pagamento, isenção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multas e juros ou interrupção de corte desses serviços?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resposta é afirmativa. O Decreto que declara a calamidade pública, bem como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atos dele emanados, reconhecem ao Chefe do Executivo a prerrogativa de estruturar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reorganizar as políticas públicas em decorrência da prerrogativa de autoadministração,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implica a capacidade decisória quanto aos interesses locais</w:t>
      </w:r>
      <w:r>
        <w:rPr>
          <w:rFonts w:ascii="Calibri" w:hAnsi="Calibri" w:eastAsia="Calibri"/>
          <w:b w:val="0"/>
          <w:i w:val="0"/>
          <w:color w:val="000000"/>
          <w:sz w:val="16"/>
        </w:rPr>
        <w:t>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548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cabível, ainda, a estruturação ou rearranjo de medidas de políticas públicas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situações calamitosas, poderes esses que foram conferidos pelo escrutínio popular (voto)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extensão do Decreto de calamidade e outros atos que podem ser emitidos,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Portarias, normas regulamentares e até mesmo detalhamento em outros Decretos,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 a ampla liberdade do agente político para alterar a configuração da 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gastos públicos e políticas públicas, em razão da particularidade do caso, 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 a dizer que a excepcionalidade autoriza o rearranjo de atividades, inclusive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prestados no âmbito local.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amplitude de ações pela decretação de calamidade é definida pela Constituição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Federal, cabendo ao Chefe do Executivo Municipal pautar-se apenas em assuntos de interesse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(art. 30, da CF). Quando houver delegação dos serviços ao Estado, quer seja por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(por exemplo, água e esgoto ao prestador estadual) ou por imposição legal (por exemplo,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intermunicipal em região metropolitana), haverá repasse de atribuições de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calamidade ao Estado, que fará sua gestão mediante ações mitigadoras de maior abrangência. </w:t>
      </w:r>
    </w:p>
    <w:p>
      <w:pPr>
        <w:autoSpaceDN w:val="0"/>
        <w:autoSpaceDE w:val="0"/>
        <w:widowControl/>
        <w:spacing w:line="245" w:lineRule="auto" w:before="344" w:after="0"/>
        <w:ind w:left="1416" w:right="109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sendo a pauta de interesses genuinamente local, as definições são revisitadas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Chefe do Executivo local, mesmo diante de norma específica sobre determinados assuntos,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é o caso de saneamento básico, tratado pela Lei Federal nº 11.445/2007. </w:t>
      </w:r>
    </w:p>
    <w:p>
      <w:pPr>
        <w:autoSpaceDN w:val="0"/>
        <w:autoSpaceDE w:val="0"/>
        <w:widowControl/>
        <w:spacing w:line="245" w:lineRule="auto" w:before="1014" w:after="0"/>
        <w:ind w:left="1416" w:right="1094" w:firstLine="0"/>
        <w:jc w:val="both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4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O Município é dotado de prerrogativas de auto-organização e normatização próprias, bem como de autogoverno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 autoadministração, que lhe asseguram autonomia. Esta autonomia, conforme preleciona Hely Lopes Meirelles: “É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mais que delegação; é faculdade política, reconhecida na própria constituição da República”. Cf. MEIRELLES, Hely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Lopes. Direito municipal brasileiro. 6ª ed. at. São Paulo: Malheiros Editores, 1993. p. 81. </w:t>
      </w:r>
    </w:p>
    <w:p>
      <w:pPr>
        <w:autoSpaceDN w:val="0"/>
        <w:autoSpaceDE w:val="0"/>
        <w:widowControl/>
        <w:spacing w:line="245" w:lineRule="auto" w:before="24" w:after="0"/>
        <w:ind w:left="1416" w:right="1092" w:firstLine="0"/>
        <w:jc w:val="both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5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As atribuições de governo compreendem o exercício do mandato, a condução dos negócios públicos municipais,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relações com as demais autoridades, as funções colegislativas relativas à iniciativa, sanção, veto, promulgação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publicação de leis, a fixação de diretrizes, o planejamento da administração local e a representação do Município. </w:t>
      </w:r>
      <w:r>
        <w:rPr>
          <w:rFonts w:ascii="Calibri" w:hAnsi="Calibri" w:eastAsia="Calibri"/>
          <w:b w:val="0"/>
          <w:i w:val="0"/>
          <w:color w:val="000000"/>
          <w:sz w:val="20"/>
        </w:rPr>
        <w:t>Cf. LOPES, Sh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 xml:space="preserve">irley Alonso Rodrigues Silverio; PEGORETTI JÚNIOR, Carlos Roberto. </w:t>
          </w:r>
        </w:hyperlink>
      </w:r>
      <w:r>
        <w:rPr>
          <w:rFonts w:ascii="Calibri" w:hAnsi="Calibri" w:eastAsia="Calibri"/>
          <w:b w:val="0"/>
          <w:i/>
          <w:color w:val="000000"/>
          <w:sz w:val="20"/>
        </w:rPr>
        <w:t>Da autonomia municipal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Disponível em: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2" w:history="1">
          <w:r>
            <w:rPr>
              <w:rStyle w:val="Hyperlink"/>
            </w:rPr>
            <w:t>https://semanaacademica.org.br/system/files/artigos/meu4oartigo.pdf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Acesso em 20 mar 2020.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há que se falar em afronta à norma especial diante da situação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excepcionalidade, podendo o Decreto ou atos subsequentes tratarem de organização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(horário de atendimento do prestador), redução de mobilidade para contenção da pandemia, </w:t>
      </w:r>
      <w:r>
        <w:rPr>
          <w:rFonts w:ascii="Calibri" w:hAnsi="Calibri" w:eastAsia="Calibri"/>
          <w:b w:val="0"/>
          <w:i w:val="0"/>
          <w:color w:val="000000"/>
          <w:sz w:val="24"/>
        </w:rPr>
        <w:t>mediante sanção premial</w:t>
      </w:r>
      <w:r>
        <w:rPr>
          <w:rFonts w:ascii="Calibri" w:hAnsi="Calibri" w:eastAsia="Calibri"/>
          <w:b w:val="0"/>
          <w:i w:val="0"/>
          <w:color w:val="000000"/>
          <w:sz w:val="16"/>
        </w:rPr>
        <w:t>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(isenção de multa e alteração da data de vencimento),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do regime de cobrança de tais serviços (alteração de vencimento das contas, isenção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categorias e suspensão de reajustes), sendo que essas últimas providências serão,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posteriori, quantificadas e equacionadas pelo ente regulador.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lógica das ações pensadas no caso da pandemia de COVID-19 para uma eficaz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dos índices de contágio passa por alteração de políticas públicas, busca de rotas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prestação dos serviços e incentivo premial aos cidadãos para que possam cumprir </w:t>
      </w:r>
      <w:r>
        <w:rPr>
          <w:rFonts w:ascii="Calibri" w:hAnsi="Calibri" w:eastAsia="Calibri"/>
          <w:b w:val="0"/>
          <w:i w:val="0"/>
          <w:color w:val="000000"/>
          <w:sz w:val="24"/>
        </w:rPr>
        <w:t>a quarentena. Nas palavras de Sílvio de Salvo Venosa</w:t>
      </w:r>
      <w:r>
        <w:rPr>
          <w:rFonts w:ascii="Calibri" w:hAnsi="Calibri" w:eastAsia="Calibri"/>
          <w:b w:val="0"/>
          <w:i w:val="0"/>
          <w:color w:val="000000"/>
          <w:sz w:val="16"/>
        </w:rPr>
        <w:t>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45" w:lineRule="auto" w:before="346" w:after="0"/>
        <w:ind w:left="3118" w:right="16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“Quando o ordenamento desejar estimular certos comportamentos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sociais, incentiva determinadas condutas, estas assim denominadas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sanções premiais, prevendo que determinada ação ou omissão seja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estimulada de alguma forma. Assim, é possível concluir que as sanções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punitivas são os castigos, e as positivas são as premiais. As sanções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punitivas decorrem da violação da norma, enquanto que as sanções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premiais ou compensatórias decorrem de ações positivas benéficas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para a sociedade.”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Ampliando a justificativa que fundamenta a reestruturação de políticas públicas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de serviços públicos, mesmo que diante de políticas setoriais, está o reconhecimento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dado o poder ao Chefe do Executivo para administrar os interesses locais, que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pautados nas peculiaridades e necessidades ínsitas da localidade</w:t>
      </w:r>
      <w:r>
        <w:rPr>
          <w:rFonts w:ascii="Calibri" w:hAnsi="Calibri" w:eastAsia="Calibri"/>
          <w:b w:val="0"/>
          <w:i w:val="0"/>
          <w:color w:val="000000"/>
          <w:sz w:val="16"/>
        </w:rPr>
        <w:t>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que não foi reconhecido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constitucionalmente ao regulador setorial - é o debate do déficit democrático do regulador. </w:t>
      </w:r>
    </w:p>
    <w:p>
      <w:pPr>
        <w:autoSpaceDN w:val="0"/>
        <w:autoSpaceDE w:val="0"/>
        <w:widowControl/>
        <w:spacing w:line="245" w:lineRule="auto" w:before="324" w:after="0"/>
        <w:ind w:left="1416" w:right="108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Nas palavras de Wladimir António Ribeiro</w:t>
      </w:r>
      <w:r>
        <w:rPr>
          <w:rFonts w:ascii="Calibri" w:hAnsi="Calibri" w:eastAsia="Calibri"/>
          <w:b w:val="0"/>
          <w:i w:val="0"/>
          <w:color w:val="000000"/>
          <w:sz w:val="16"/>
        </w:rPr>
        <w:t>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“como sabido, o regulador goza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autonomia reforçada, exercendo amplos poderes, inclusive de caráter normativo, porém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 legitimidade democrática direta, porque os dirigentes do regulador não são eleitos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pela população, e muitas vezes, não estão subordinados ou não respondem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que possuem vínculo com o poder democraticamente eleito. Em uma situação 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espécie, entender que cabe ao regulador definir aspectos da política pública significa dizer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das políticas públicas não é definido pela população ou por seus representantes [...]”. </w:t>
      </w:r>
    </w:p>
    <w:p>
      <w:pPr>
        <w:autoSpaceDN w:val="0"/>
        <w:autoSpaceDE w:val="0"/>
        <w:widowControl/>
        <w:spacing w:line="245" w:lineRule="auto" w:before="1014" w:after="0"/>
        <w:ind w:left="1416" w:right="1092" w:firstLine="0"/>
        <w:jc w:val="both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Nos dizeres de Miguel Reale,</w:t>
      </w:r>
      <w:r>
        <w:rPr>
          <w:rFonts w:ascii="Calibri" w:hAnsi="Calibri" w:eastAsia="Calibri"/>
          <w:b w:val="0"/>
          <w:i/>
          <w:color w:val="000000"/>
          <w:sz w:val="20"/>
        </w:rPr>
        <w:t>“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Assim, ao lado das sanções penais, temos sanções premiais que oferecem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benefício ao destinatário, como, por exemplo, um desconto ao contribuinte que paga o tributo antes da data do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vencimento” cf. REALE, Miguel. </w:t>
      </w:r>
      <w:r>
        <w:rPr>
          <w:rFonts w:ascii="Calibri" w:hAnsi="Calibri" w:eastAsia="Calibri"/>
          <w:b w:val="0"/>
          <w:i/>
          <w:color w:val="000000"/>
          <w:sz w:val="20"/>
        </w:rPr>
        <w:t>Lições preliminares de direito</w:t>
      </w:r>
      <w:r>
        <w:rPr>
          <w:rFonts w:ascii="Calibri" w:hAnsi="Calibri" w:eastAsia="Calibri"/>
          <w:b w:val="0"/>
          <w:i w:val="0"/>
          <w:color w:val="000000"/>
          <w:sz w:val="20"/>
        </w:rPr>
        <w:t>. 9.ed., São Paulo: Saraiva, 1981. p.75.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" w:after="0"/>
        <w:ind w:left="1416" w:right="1008" w:firstLine="0"/>
        <w:jc w:val="left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7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VENOSA, Sílvio de Salvo. Sanção premial. </w:t>
      </w:r>
      <w:r>
        <w:rPr>
          <w:rFonts w:ascii="Calibri" w:hAnsi="Calibri" w:eastAsia="Calibri"/>
          <w:b w:val="0"/>
          <w:i/>
          <w:color w:val="000000"/>
          <w:sz w:val="20"/>
        </w:rPr>
        <w:t>Portal Migalhas</w:t>
      </w:r>
      <w:r>
        <w:rPr>
          <w:rFonts w:ascii="Calibri" w:hAnsi="Calibri" w:eastAsia="Calibri"/>
          <w:b w:val="0"/>
          <w:i w:val="0"/>
          <w:color w:val="000000"/>
          <w:sz w:val="20"/>
        </w:rPr>
        <w:t>. Disponível em: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3" w:history="1">
          <w:r>
            <w:rPr>
              <w:rStyle w:val="Hyperlink"/>
            </w:rPr>
            <w:t>https://www.migalhas.com.br/depeso/</w:t>
          </w:r>
        </w:hyperlink>
      </w:r>
      <w:r>
        <w:rPr>
          <w:rFonts w:ascii="Calibri" w:hAnsi="Calibri" w:eastAsia="Calibri"/>
          <w:b w:val="0"/>
          <w:i w:val="0"/>
          <w:color w:val="0000FF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3" w:history="1">
          <w:r>
            <w:rPr>
              <w:rStyle w:val="Hyperlink"/>
            </w:rPr>
            <w:t>298207/sancao-premial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Acesso em 21 mar 2020. </w:t>
      </w:r>
    </w:p>
    <w:p>
      <w:pPr>
        <w:autoSpaceDN w:val="0"/>
        <w:autoSpaceDE w:val="0"/>
        <w:widowControl/>
        <w:spacing w:line="218" w:lineRule="auto" w:before="24" w:after="0"/>
        <w:ind w:left="1416" w:right="0" w:firstLine="0"/>
        <w:jc w:val="left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8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LENZA, Pedro</w:t>
      </w:r>
      <w:r>
        <w:rPr>
          <w:rFonts w:ascii="Calibri" w:hAnsi="Calibri" w:eastAsia="Calibri"/>
          <w:b w:val="0"/>
          <w:i/>
          <w:color w:val="000000"/>
          <w:sz w:val="20"/>
        </w:rPr>
        <w:t>. Direito constitucional esquematizado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18. ed., São Paulo: Saraiva, 2018, p. 502. </w:t>
      </w:r>
    </w:p>
    <w:p>
      <w:pPr>
        <w:autoSpaceDN w:val="0"/>
        <w:autoSpaceDE w:val="0"/>
        <w:widowControl/>
        <w:spacing w:line="245" w:lineRule="auto" w:before="22" w:after="0"/>
        <w:ind w:left="1416" w:right="1094" w:firstLine="0"/>
        <w:jc w:val="both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9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RIBEIRO,</w:t>
      </w:r>
      <w:r>
        <w:rPr>
          <w:rFonts w:ascii="Calibri" w:hAnsi="Calibri" w:eastAsia="Calibri"/>
          <w:b w:val="0"/>
          <w:i w:val="0"/>
          <w:color w:val="000000"/>
          <w:sz w:val="20"/>
        </w:rPr>
        <w:t>W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LADIMIR </w:t>
      </w:r>
      <w:r>
        <w:rPr>
          <w:rFonts w:ascii="Calibri" w:hAnsi="Calibri" w:eastAsia="Calibri"/>
          <w:b w:val="0"/>
          <w:i w:val="0"/>
          <w:color w:val="000000"/>
          <w:sz w:val="20"/>
        </w:rPr>
        <w:t>A</w:t>
      </w:r>
      <w:r>
        <w:rPr>
          <w:rFonts w:ascii="Calibri" w:hAnsi="Calibri" w:eastAsia="Calibri"/>
          <w:b w:val="0"/>
          <w:i w:val="0"/>
          <w:color w:val="000000"/>
          <w:sz w:val="16"/>
        </w:rPr>
        <w:t>NTÓNIO</w:t>
      </w:r>
      <w:r>
        <w:rPr>
          <w:rFonts w:ascii="Calibri" w:hAnsi="Calibri" w:eastAsia="Calibri"/>
          <w:b w:val="0"/>
          <w:i w:val="0"/>
          <w:color w:val="000000"/>
          <w:sz w:val="20"/>
        </w:rPr>
        <w:t>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forma e a função: as relações entre independência, regulação e competências do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regulador. In: </w:t>
      </w:r>
      <w:r>
        <w:rPr>
          <w:rFonts w:ascii="Calibri" w:hAnsi="Calibri" w:eastAsia="Calibri"/>
          <w:b w:val="0"/>
          <w:i/>
          <w:color w:val="000000"/>
          <w:sz w:val="20"/>
        </w:rPr>
        <w:t>Regulação do saneamento básico: 5 anos de experiência da ARES-PCJ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Carlos Roberto de Oliveira, Dalto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Favero Brochi, Carlos Roberto Gravina (Org.). São Paulo: Essential Idea Editora, 2016. p. 60. </w:t>
      </w:r>
    </w:p>
    <w:p>
      <w:pPr>
        <w:autoSpaceDN w:val="0"/>
        <w:tabs>
          <w:tab w:pos="10676" w:val="left"/>
        </w:tabs>
        <w:autoSpaceDE w:val="0"/>
        <w:widowControl/>
        <w:spacing w:line="197" w:lineRule="auto" w:before="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90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forma, conclui-se que ao Chefe do Poder Executivo Municipal compete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declarar a calamidade pública (ou Governador ou Presidente da República, em razão da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calamidade), dando diretrizes sobre a nova forma de arranjo dos serviços locais,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estipular sanções premiais, definir novos padrões de atendimento à essencialidade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regime tarifário excepcional (contemplando isenções, descontos ou até mesmo suspensão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reajustes).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de tais comandos emanados, cabe ao ente regulador, quando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concessão, reequilibra-lo oportunamente, considerando o fato da Administração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(teoria das áleas)</w:t>
      </w:r>
      <w:r>
        <w:rPr>
          <w:rFonts w:ascii="Calibri" w:hAnsi="Calibri" w:eastAsia="Calibri"/>
          <w:b w:val="0"/>
          <w:i w:val="0"/>
          <w:color w:val="000000"/>
          <w:sz w:val="16"/>
        </w:rPr>
        <w:t>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e, existindo prestação direta, avaliar impactos financeiros e reajustar 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para manutenção do equilíbrio fiscal do prestador público (quando da cessação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evento calamitoso). 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arranjos financeiros, devidamente justificados e decorrentes de Decreto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calamidade pública, não são classificados como renúncia de receita, já que a previsão do art. 65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de Responsabilidade Fiscal (Lei Complementar nº 101/2000) traz regramento fiscal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especial. Nos dizeres de Sérgio Ciquera Rossi</w:t>
      </w:r>
      <w:r>
        <w:rPr>
          <w:rFonts w:ascii="Calibri" w:hAnsi="Calibri" w:eastAsia="Calibri"/>
          <w:b w:val="0"/>
          <w:i w:val="0"/>
          <w:color w:val="000000"/>
          <w:sz w:val="16"/>
        </w:rPr>
        <w:t>11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Secretário-Geral do Tribunal de Contas do Estado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São Paulo: “calamidade financeira não se confunde com calamidade pública, esta última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amparada no ordenamento constitucional e legal”.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diante da excepcionalidade trazida pelo citado art. 65 da LRF, o regulador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dispõe de vários mecanismos para assegurar a boa gestão financeira do prestador,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reavaliação tarifária no mesmo ano fiscal, revisão de cronograma de investimentos,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de caixa, dentre outros, já que tais arranjos são fundados no princípio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>orçamentário da universalidade</w:t>
      </w:r>
      <w:r>
        <w:rPr>
          <w:rFonts w:ascii="Calibri" w:hAnsi="Calibri" w:eastAsia="Calibri"/>
          <w:b w:val="0"/>
          <w:i w:val="0"/>
          <w:color w:val="000000"/>
          <w:sz w:val="16"/>
        </w:rPr>
        <w:t>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Conclusões parciais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127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exposto, o entendimento sedimentado pela ARES-PCJ é que o Titular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dispõe de prerrogativa para avocar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regulatórias delegadas, emitindo comandos gerais vinculativos ao seu ente regulador,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Administração Indireta. </w:t>
      </w:r>
    </w:p>
    <w:p>
      <w:pPr>
        <w:autoSpaceDN w:val="0"/>
        <w:autoSpaceDE w:val="0"/>
        <w:widowControl/>
        <w:spacing w:line="197" w:lineRule="auto" w:before="52" w:after="0"/>
        <w:ind w:left="26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passos obrigatórios para a avocação de competências: </w:t>
      </w:r>
    </w:p>
    <w:p>
      <w:pPr>
        <w:autoSpaceDN w:val="0"/>
        <w:autoSpaceDE w:val="0"/>
        <w:widowControl/>
        <w:spacing w:line="245" w:lineRule="auto" w:before="694" w:after="0"/>
        <w:ind w:left="1416" w:right="1008" w:firstLine="0"/>
        <w:jc w:val="left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10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Maria Sylvia Zanella Di Pietro, tratando dos reflexos de alterações dos contratos apresenta as categorias divididas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em a) álea ordinária ou empresarial; b) álea administrativa, composta da alteração unilateral, do fato do príncipe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do fato da Administração; e c) álea econômica, correspondendo à teoria da imprevisão. Sem prejuízo da divisão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sistematizada, as consequências jurídicas da superveniência de cada hipótese (das áleas administrativa e econômica) </w:t>
      </w:r>
      <w:r>
        <w:rPr>
          <w:rFonts w:ascii="Calibri" w:hAnsi="Calibri" w:eastAsia="Calibri"/>
          <w:b w:val="0"/>
          <w:i w:val="0"/>
          <w:color w:val="000000"/>
          <w:sz w:val="20"/>
        </w:rPr>
        <w:t>seriam as mesmas: a Administração Pública responde sozinha pela recomposição do equilíbrio econômico-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financeiro, por aplicação do art. 37, XXI, da Constituição da República. Cf. DI PIETRO, Maria Sylvia Zanella.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Direito </w:t>
      </w:r>
      <w:r>
        <w:rPr>
          <w:rFonts w:ascii="Calibri" w:hAnsi="Calibri" w:eastAsia="Calibri"/>
          <w:b w:val="0"/>
          <w:i/>
          <w:color w:val="000000"/>
          <w:sz w:val="20"/>
        </w:rPr>
        <w:t>administrativo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24 ed., São Paulo: Atlas, 2011. p. 282. </w:t>
      </w:r>
    </w:p>
    <w:p>
      <w:pPr>
        <w:autoSpaceDN w:val="0"/>
        <w:autoSpaceDE w:val="0"/>
        <w:widowControl/>
        <w:spacing w:line="232" w:lineRule="exact" w:before="0" w:after="0"/>
        <w:ind w:left="1416" w:right="1008" w:firstLine="0"/>
        <w:jc w:val="left"/>
      </w:pPr>
      <w:r>
        <w:rPr>
          <w:w w:val="101.53846007127028"/>
          <w:rFonts w:ascii="Arial Narrow" w:hAnsi="Arial Narrow" w:eastAsia="Arial Narrow"/>
          <w:b w:val="0"/>
          <w:i w:val="0"/>
          <w:color w:val="000000"/>
          <w:sz w:val="13"/>
        </w:rPr>
        <w:t>11</w:t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 xml:space="preserve"> ROSSI, Sérgio Ciquera. As ameaças à lei de responsabilidade fiscal. </w:t>
          </w:r>
        </w:hyperlink>
      </w:r>
      <w:r>
        <w:rPr>
          <w:rFonts w:ascii="Arial" w:hAnsi="Arial" w:eastAsia="Arial"/>
          <w:b w:val="0"/>
          <w:i/>
          <w:color w:val="000000"/>
          <w:sz w:val="20"/>
        </w:rPr>
        <w:t>Portal Migalhas</w:t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t xml:space="preserve">. Disponível em: </w:t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t>&lt;</w:t>
      </w:r>
      <w:r>
        <w:rPr>
          <w:rFonts w:ascii="Arial Narrow" w:hAnsi="Arial Narrow" w:eastAsia="Arial Narrow"/>
          <w:b w:val="0"/>
          <w:i w:val="0"/>
          <w:color w:val="0000FF"/>
          <w:sz w:val="20"/>
          <w:u w:val="single"/>
        </w:rPr>
        <w:hyperlink r:id="rId14" w:history="1">
          <w:r>
            <w:rPr>
              <w:rStyle w:val="Hyperlink"/>
            </w:rPr>
            <w:t>https://www.migalhas.com.br/depeso/295022/as-ameacas-a-lei-de-responsabilidade-fiscal</w:t>
          </w:r>
        </w:hyperlink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t xml:space="preserve">&gt; Acesso em 21 mar 2020. </w:t>
      </w: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12</w:t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t xml:space="preserve">Dispõe o Manual de Contabilidade Aplicado ao Setor Público MCASP (8. Ed.): Princípio da Universalidade é estabelecido, de </w:t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t xml:space="preserve">forma expressa, pelo caput do art. 2º da Lei nº 4.320/1964, recepcionado e normatizado pelo § 5º do art. 165 da Constituição </w:t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t xml:space="preserve">Federal, determina que a LOA de cada ente federado deverá conter todas as receitas e despesas de todos os poderes, órgãos, </w:t>
      </w:r>
      <w:r>
        <w:rPr>
          <w:rFonts w:ascii="Arial Narrow" w:hAnsi="Arial Narrow" w:eastAsia="Arial Narrow"/>
          <w:b w:val="0"/>
          <w:i w:val="0"/>
          <w:color w:val="000000"/>
          <w:sz w:val="20"/>
        </w:rPr>
        <w:t xml:space="preserve">entidades, fundos e fundações instituídas e mantidas pelo Poder Público. </w:t>
      </w:r>
    </w:p>
    <w:p>
      <w:pPr>
        <w:autoSpaceDN w:val="0"/>
        <w:tabs>
          <w:tab w:pos="10572" w:val="left"/>
        </w:tabs>
        <w:autoSpaceDE w:val="0"/>
        <w:widowControl/>
        <w:spacing w:line="197" w:lineRule="auto" w:before="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de calamidade pública municipal;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outro Decreto Municipal, em complemento ao de calamidade, caso não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expressa de regras sobre serviços públicos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temas passíveis de regulamentação pelo Titular em seu Decreto Municipal: suspensão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reajuste em trâmite na ARES-PCJ, isenção de tarifas de água e esgoto a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(tarifa social, por exemplo), suspensão de corte por inadimplência, prorrogação de vencimentos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contas em período de isolamento social e regras especiais para pagamento. </w:t>
      </w:r>
    </w:p>
    <w:p>
      <w:pPr>
        <w:autoSpaceDN w:val="0"/>
        <w:autoSpaceDE w:val="0"/>
        <w:widowControl/>
        <w:spacing w:line="245" w:lineRule="auto" w:before="344" w:after="0"/>
        <w:ind w:left="1416" w:right="1088" w:firstLine="127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tocante à concessão de isenções tarifárias ou de descontos aos usuários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Social, recomenda-se prioridade a proteção à parcela de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mais vulnerável às oscilações econômicas, conforme experiência observada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regulados pela ARES-PCJ nos estudos da Nota Técnica ARES-PCJ nº 15/ 2019.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1276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No que diz respeito ao acompanhamento e monitoramento da situação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da prestação dos serviços públicos de água e esgoto, ainda com vistas ao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econômico-financeiro, sugere-se: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Monitoramento constante do faturamento por categoria, com atenção especial às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 Industrial;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Desenvolvimento e/ou aprimoramento do relatório Histograma de Faturamento para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categorias, contendo: </w:t>
      </w:r>
    </w:p>
    <w:p>
      <w:pPr>
        <w:autoSpaceDN w:val="0"/>
        <w:autoSpaceDE w:val="0"/>
        <w:widowControl/>
        <w:spacing w:line="245" w:lineRule="auto" w:before="348" w:after="0"/>
        <w:ind w:left="1984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por faixas de consumo de 1 em 1 m³;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Água (medido - m³);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Esgoto (medido - m³);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Faturado Água (R$);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Faturado Esgoto (R$). </w:t>
      </w:r>
    </w:p>
    <w:p>
      <w:pPr>
        <w:autoSpaceDN w:val="0"/>
        <w:autoSpaceDE w:val="0"/>
        <w:widowControl/>
        <w:spacing w:line="245" w:lineRule="auto" w:before="348" w:after="598"/>
        <w:ind w:left="1416" w:right="1084" w:firstLine="127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comandos legais emitidos serão acatados pelo regulador, que irá promover,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oportunamente, as devidas avaliações econômico-financeiras para a manutenção da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do prestador público ou da concessionária.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4.0" w:type="dxa"/>
      </w:tblPr>
      <w:tblGrid>
        <w:gridCol w:w="9028"/>
      </w:tblGrid>
      <w:tr>
        <w:trPr>
          <w:trHeight w:hRule="exact" w:val="340"/>
        </w:trPr>
        <w:tc>
          <w:tcPr>
            <w:tcW w:type="dxa" w:w="95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DIRETRIZES OPERACIONAIS </w:t>
            </w:r>
          </w:p>
        </w:tc>
      </w:tr>
    </w:tbl>
    <w:p>
      <w:pPr>
        <w:autoSpaceDN w:val="0"/>
        <w:autoSpaceDE w:val="0"/>
        <w:widowControl/>
        <w:spacing w:line="245" w:lineRule="auto" w:before="338" w:after="0"/>
        <w:ind w:left="1416" w:right="1084" w:firstLine="127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âmbito técnico-operacional da prestação de serviços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alguns princípios básicos de qualidade, regularidade e segurança na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são invioláveis e devem ser mantidos inclusive (e principalmente)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períodos de crise sanitária, como o atendimento ao Padrão de Potabilidade estabelecido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XX da Portaria de Consolidação nº 5 do Ministério da Saúde, os critérios de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efluentes tratados apresentados pelo Decreto Estadual nº 8.468/1976. </w:t>
      </w:r>
    </w:p>
    <w:p>
      <w:pPr>
        <w:autoSpaceDN w:val="0"/>
        <w:tabs>
          <w:tab w:pos="10572" w:val="left"/>
        </w:tabs>
        <w:autoSpaceDE w:val="0"/>
        <w:widowControl/>
        <w:spacing w:line="197" w:lineRule="auto" w:before="5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6" w:firstLine="127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observados, ainda, os critérios gerais estabelecidos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como os valores de pressões operacionais mínimas e máximas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informação prévia sobre interrupções programadas e não programadas.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1276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Todavia, considerando a esfera operacional dos serviços de água e esgoto,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sua interface com os aspectos financeiros em termos de receitas e despesas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com os usuários dos serviços, os prestadores dos serviços ficam autorizados,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conjunta com o titular dos serviços e mediante decretação de estado de calamidade,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reordenar práticas operacionais nos seguintes termos: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2.1. Abastecimento de água e operacional </w:t>
      </w:r>
    </w:p>
    <w:p>
      <w:pPr>
        <w:autoSpaceDN w:val="0"/>
        <w:autoSpaceDE w:val="0"/>
        <w:widowControl/>
        <w:spacing w:line="245" w:lineRule="auto" w:before="296" w:after="0"/>
        <w:ind w:left="1416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Postergar serviços não essenciais e que podem ocasionar desabastecimento de água,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temporários, como a lavagem de reservatórios ou outras intervenções de manutenção;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execução de serviços que diminuam o desabastecimento de água, como o reparo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conserto de vazamentos, ligações e religações de água em locais com residentes fixos;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reparo de vazamentos em vias públicas de esgoto sanitário, com vistas a diminuir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possíveis contaminações;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Reorganizar a aplicação de recursos programados e previstos na composição tarifária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investimentos, em prol da cobertura de despesas operacionais afetadas pela crise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para medidas contra desabastecimento público;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Suspender ou minimizar as atividades comerciais ou operacionais que tenham interface direta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usuário, como avaliação de críticas de leitura, recadastramento comercial, verificações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internas, entre outros;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aquisição de bombas reservas ou outros meios que garantam a constante captação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bruta e distribuição de água tratada;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Estabelecer medidas emergenciais para abastecimento ininterrupto a estabelecimentos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Planejar as variações de demanda no atual cenário e priorizar oferta plena do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reservação, mesmo que incorra em aumento do gasto com energia elétrica.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2.2. Faturamento e receitas tarifárias </w:t>
      </w:r>
    </w:p>
    <w:p>
      <w:pPr>
        <w:autoSpaceDN w:val="0"/>
        <w:autoSpaceDE w:val="0"/>
        <w:widowControl/>
        <w:spacing w:line="245" w:lineRule="auto" w:before="300" w:after="0"/>
        <w:ind w:left="1416" w:right="1084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faturamento de água e esgoto considerando valores médios de consumo, com 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reduzir o tempo de leitura e impressão de faturas em campo e exposição de colaboradores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Neste caso, o prestador deve regulamentar e dar publicidade dos critérios adotados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determinação do consumo médio (por exemplo: seis últimos meses, média de três meses do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entre outros).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Exemplo (com valores e volumes hipotéticos):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6048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Volume faturado médio = 14 m³ (referência)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Valor do volume faturado médio = R$ 40,00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Período faturado pela média = 3 meses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Valor faturado = 3 x R$ 40,00 = R$ 120,00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tabs>
          <w:tab w:pos="10572" w:val="left"/>
        </w:tabs>
        <w:autoSpaceDE w:val="0"/>
        <w:widowControl/>
        <w:spacing w:line="197" w:lineRule="auto" w:before="2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Volume médio efetivamente consumido e aferido em leitura = 13 m³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Valor do volume efetivamente consumido médio = R$ 34,00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Valor médio que seria devido em caso de leitura no período = R$ 102,00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Diferença entre os valores faturados e efetivamente devidos = R$ 120,00 - R$ 102,00 = R$ 18,00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Diferença a ser redistribuída por período igual ao faturado pela média = R$ 18,00 / 3 = R$ 6,00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por mês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Valores das próximas faturas, pelo mesmo período em que houve cobrança pela média, já com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devido desconto: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strike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Mês 1: R$ 38,00 - R$ 6,00 = R$ 32,00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strike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Mês 2: R$ 42,00 - R$ 6,00 = R$ 36,00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strike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Mês 3: R$ 41,00 - R$ 6,00 = R$ 35,00 (Redação dada pela Resolução ARES-PCJ nº 348,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23/06/2020)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>a)</w:t>
      </w:r>
      <w:r>
        <w:rPr>
          <w:rFonts w:ascii="Calibri" w:hAnsi="Calibri" w:eastAsia="Calibri"/>
          <w:b/>
          <w:i/>
          <w:color w:val="000000"/>
          <w:sz w:val="24"/>
          <w:u w:val="single"/>
        </w:rPr>
        <w:t>Exemplo de Faturamento a Maior (com valores e volumes hipotéticos):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Volume faturado médio = 14 m³ (referência)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faturado médio = R$ 40,00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faturado pela média = 3 meses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faturado = 3 x R$ 40,00 = R$ 120,00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Volume médio efetivamente consumido e aferido em leitura = 13 m³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efetivamente consumido médio = R$ 34,00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médio que seria devido em caso de leitura no período = R$ 102,00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entre os valores faturados e efetivamente devidos = R$ 120,00 - R$ 102,00 = R$ 18,00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a ser redistribuída por período igual ao faturado pela média = R$ 18,00 / 3 = R$ 6,00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 mês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próximas faturas, pelo mesmo período em que houve cobrança pela média, já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devido desconto: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1: R$ 38,00 - R$ 6,00 = R$ 32,00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2: R$ 42,00 - R$ 6,00 = R$ 36,00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3: R$ 41,00 - R$ 6,00 = R$ 35,00 (NR)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>b)</w:t>
      </w:r>
      <w:r>
        <w:rPr>
          <w:rFonts w:ascii="Calibri" w:hAnsi="Calibri" w:eastAsia="Calibri"/>
          <w:b/>
          <w:i/>
          <w:color w:val="000000"/>
          <w:sz w:val="24"/>
          <w:u w:val="single"/>
        </w:rPr>
        <w:t>Exemplo de Faturamento a Menor (com valores e volumes hipotéticos):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Volume faturado médio = 14 m³ (referência)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faturado médio = R$ 40,00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faturado pela média = 3 meses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faturado = 3 x R$ 40,00 = R$ 120,00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Volume médio efetivamente consumido e aferido em leitura = 15 m³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efetivamente consumido médio = R$ 45,00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médio que seria devido em caso de leitura no período = R$ 135,00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entre os valores faturados e efetivamente devidos = R$ 135,00 - R$ 120,00 = R$ 15,00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a ser redistribuída por período igual ao faturado pela média = R$ 15,00 / 3 = R$ 5,00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 mês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próximas faturas, pelo mesmo período em que houve cobrança pela média, já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devido desconto: </w:t>
      </w:r>
    </w:p>
    <w:p>
      <w:pPr>
        <w:autoSpaceDN w:val="0"/>
        <w:tabs>
          <w:tab w:pos="10572" w:val="left"/>
        </w:tabs>
        <w:autoSpaceDE w:val="0"/>
        <w:widowControl/>
        <w:spacing w:line="197" w:lineRule="auto" w:before="2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424" w:after="0"/>
        <w:ind w:left="1416" w:right="144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1: R$ 38,00 + R$ 5,00 = R$ 43,00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2: R$ 42,00 + R$ 5,00 = R$ 47,00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3: R$ 41,00 + R$ 5,00 = R$ 46,00 (Redação dada pela Resolução ARES-PCJ nº 352,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20/08/2020) </w:t>
      </w:r>
    </w:p>
    <w:p>
      <w:pPr>
        <w:autoSpaceDN w:val="0"/>
        <w:autoSpaceDE w:val="0"/>
        <w:widowControl/>
        <w:spacing w:line="245" w:lineRule="auto" w:before="66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GESTÃO ADMINISTRATIVA E EMPRESARIAL DO SERVIÇO PÚBLICO EM SITUAÇÃO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DECLARADA DE CALAMIDADE </w:t>
      </w:r>
    </w:p>
    <w:p>
      <w:pPr>
        <w:autoSpaceDN w:val="0"/>
        <w:autoSpaceDE w:val="0"/>
        <w:widowControl/>
        <w:spacing w:line="245" w:lineRule="auto" w:before="378" w:after="0"/>
        <w:ind w:left="1416" w:right="108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concessionária ou prestador público são responsáveis pela adequada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em sua integralidade, garantindo a segurança, qualidade e regularidade,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2º, inc. XI, da Lei Federal nº 11.445/2007. </w:t>
      </w:r>
    </w:p>
    <w:p>
      <w:pPr>
        <w:autoSpaceDN w:val="0"/>
        <w:autoSpaceDE w:val="0"/>
        <w:widowControl/>
        <w:spacing w:line="245" w:lineRule="auto" w:before="350" w:after="0"/>
        <w:ind w:left="1416" w:right="1092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de calamidade traz regramentos que buscam ponderar a melhor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dos serviços públicos essenciais, mas cabe ao prestador diligenciar para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organizacional seja adequada e possa mitigar riscos de seus colaboradores.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papel da entidade reguladora avaliar os mecanismos e os métodos adotados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para que não haja interrupção dos serviços, mas também se espera de tais gestores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medidas adequadas para não expor seus funcionários a demandas e situações de risco,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 exemplo de manutenção de atendimento presencial existindo a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remoto.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ponderações são elementos da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gênese da gestão e autonomia do prestador,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fugindo do escopo regulatório e não cabendo à agência orbitar em tais planejamentos, sob pena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 xml:space="preserve">de ingerência indevida e exorbitância das competências regulatórias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entregues pela Política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Saneamento Básico. </w:t>
      </w:r>
    </w:p>
    <w:p>
      <w:pPr>
        <w:autoSpaceDN w:val="0"/>
        <w:autoSpaceDE w:val="0"/>
        <w:widowControl/>
        <w:spacing w:line="245" w:lineRule="auto" w:before="328" w:after="0"/>
        <w:ind w:left="1416" w:right="1090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Como destaca Rui Cunha Marques</w:t>
      </w:r>
      <w:r>
        <w:rPr>
          <w:rFonts w:ascii="Calibri" w:hAnsi="Calibri" w:eastAsia="Calibri"/>
          <w:b w:val="0"/>
          <w:i w:val="0"/>
          <w:color w:val="000000"/>
          <w:sz w:val="16"/>
        </w:rPr>
        <w:t>13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“note-se que o regulador não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confundido com o gestor do contrato, que deve existir para defender os interesses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Concedente, isto é, do parceiro público. O regulador é árbitro e imparcial [...]”.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forma, a melhor forma de gestão administrativa e empresarial ou de arranjo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adequada prestação dos serviços mínimos e essenciais compete ao prestador,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privado, cabendo ao ente regulador tão somente a cobrança pela manutenção de um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essencial de atividades e de canal adequado para as comunicações e solicitações de urgência. </w:t>
      </w:r>
    </w:p>
    <w:p>
      <w:pPr>
        <w:autoSpaceDN w:val="0"/>
        <w:tabs>
          <w:tab w:pos="2548" w:val="left"/>
        </w:tabs>
        <w:autoSpaceDE w:val="0"/>
        <w:widowControl/>
        <w:spacing w:line="245" w:lineRule="auto" w:before="350" w:after="0"/>
        <w:ind w:left="1416" w:right="100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recomendações de boas práticas de prestação de serviços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podem ser priorizadas: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3.1. Saúde e Segurança do trabalho </w:t>
      </w:r>
    </w:p>
    <w:p>
      <w:pPr>
        <w:autoSpaceDN w:val="0"/>
        <w:autoSpaceDE w:val="0"/>
        <w:widowControl/>
        <w:spacing w:line="245" w:lineRule="auto" w:before="594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4"/>
        </w:rPr>
        <w:t>13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MARQUES</w:t>
      </w:r>
      <w:r>
        <w:rPr>
          <w:rFonts w:ascii="Calibri" w:hAnsi="Calibri" w:eastAsia="Calibri"/>
          <w:b w:val="0"/>
          <w:i w:val="0"/>
          <w:color w:val="000000"/>
          <w:sz w:val="20"/>
        </w:rPr>
        <w:t>, Rui Cunha.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participação do setor privado nos serviços de saneamento: expectativas, desafios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questões regulatórias. In: </w:t>
      </w:r>
      <w:r>
        <w:rPr>
          <w:rFonts w:ascii="Calibri" w:hAnsi="Calibri" w:eastAsia="Calibri"/>
          <w:b w:val="0"/>
          <w:i/>
          <w:color w:val="000000"/>
          <w:sz w:val="20"/>
        </w:rPr>
        <w:t>Regulação do saneamento básico: 5 anos de experiência da ARES-PCJ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Carlos Roberto de </w:t>
      </w:r>
      <w:r>
        <w:rPr>
          <w:rFonts w:ascii="Calibri" w:hAnsi="Calibri" w:eastAsia="Calibri"/>
          <w:b w:val="0"/>
          <w:i w:val="0"/>
          <w:color w:val="000000"/>
          <w:sz w:val="20"/>
        </w:rPr>
        <w:t>Oliveira, Dalto Favero Brochi, Carlos Roberto Gravina (Org.). São Paulo: Essential Idea Editora, 2016. p. 292.</w:t>
      </w:r>
    </w:p>
    <w:p>
      <w:pPr>
        <w:autoSpaceDN w:val="0"/>
        <w:tabs>
          <w:tab w:pos="10572" w:val="left"/>
        </w:tabs>
        <w:autoSpaceDE w:val="0"/>
        <w:widowControl/>
        <w:spacing w:line="197" w:lineRule="auto" w:before="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4" w:after="0"/>
        <w:ind w:left="1416" w:right="1094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Alterar a gestão interna de pessoal, horários de funcionamento e turnos de trabalho,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enquanto atividades de responsabilidade exclusiva do prestador de serviços e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do Ministério da Saúde e a qualidade do abastecimento público.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3.2. Atendimento presencial </w:t>
      </w:r>
    </w:p>
    <w:p>
      <w:pPr>
        <w:autoSpaceDN w:val="0"/>
        <w:autoSpaceDE w:val="0"/>
        <w:widowControl/>
        <w:spacing w:line="245" w:lineRule="auto" w:before="300" w:after="0"/>
        <w:ind w:left="1416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Suspender atendimento presencial aos usuários dos serviços de água e esgoto,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ostensiva nos postos de atendimento e na mídia local dos meios de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remota que o substituam, como telefone, e-mail, WhatsApp e demais redes sociais, além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realocar os colaboradores substitutos nestas novas atividades;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última necessidade, quando necessário atendimento presencial, respeitar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autoridades de saúde e prever ambiente de atendimento dotado de condições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garantam, no mínimo: </w:t>
      </w:r>
    </w:p>
    <w:p>
      <w:pPr>
        <w:autoSpaceDN w:val="0"/>
        <w:autoSpaceDE w:val="0"/>
        <w:widowControl/>
        <w:spacing w:line="245" w:lineRule="auto" w:before="344" w:after="592"/>
        <w:ind w:left="1984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distância de 2 metros entre cada pessoa presente à unidade (profissionais e usuários);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fila de espera ao ar livre;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diferenciado para pessoas dos grupos de risco.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4.0" w:type="dxa"/>
      </w:tblPr>
      <w:tblGrid>
        <w:gridCol w:w="9028"/>
      </w:tblGrid>
      <w:tr>
        <w:trPr>
          <w:trHeight w:hRule="exact" w:val="344"/>
        </w:trPr>
        <w:tc>
          <w:tcPr>
            <w:tcW w:type="dxa" w:w="95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RELACIONAMENTO COM A AGÊNCIA REGULADORA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6" w:right="1082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tocante ao relacionamento entre o prestador de serviços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Agência Reguladora PCJ (ARES-PCJ), entende-se prudente e viável a suspensão da contagem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prazos para solução de Não Conformidades relacionadas em Compromissos de Ajustamento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Conduta (CACs) firmados entre prestadores de serviços e ARES-PCJ, nos prazos de duração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estado de calamidade.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11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comunicações entre titulares e prestadores de serviços e a ARES-PCJ devem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por meio digital por tempo indeterminado, incluindo novos protocolos 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continuidade a processos em aberto. </w:t>
      </w:r>
    </w:p>
    <w:p>
      <w:pPr>
        <w:autoSpaceDN w:val="0"/>
        <w:autoSpaceDE w:val="0"/>
        <w:widowControl/>
        <w:spacing w:line="197" w:lineRule="auto" w:before="344" w:after="0"/>
        <w:ind w:left="0" w:right="396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Americana/SP, 23 de março de 2020. </w:t>
      </w:r>
    </w:p>
    <w:p>
      <w:pPr>
        <w:autoSpaceDN w:val="0"/>
        <w:autoSpaceDE w:val="0"/>
        <w:widowControl/>
        <w:spacing w:line="245" w:lineRule="auto" w:before="932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ARES-PCJ</w:t>
      </w:r>
    </w:p>
    <w:p>
      <w:pPr>
        <w:autoSpaceDN w:val="0"/>
        <w:tabs>
          <w:tab w:pos="10572" w:val="left"/>
        </w:tabs>
        <w:autoSpaceDE w:val="0"/>
        <w:widowControl/>
        <w:spacing w:line="197" w:lineRule="auto" w:before="25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345 – 23/03/2020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4.tce.sp.gov.br/" TargetMode="External"/><Relationship Id="rId12" Type="http://schemas.openxmlformats.org/officeDocument/2006/relationships/hyperlink" Target="https://semanaacademica.org.br/system/files/artigos/meu4oartigo.pdf" TargetMode="External"/><Relationship Id="rId13" Type="http://schemas.openxmlformats.org/officeDocument/2006/relationships/hyperlink" Target="https://www.migalhas.com.br/depeso/%20298207/sancao-premial" TargetMode="External"/><Relationship Id="rId14" Type="http://schemas.openxmlformats.org/officeDocument/2006/relationships/hyperlink" Target="https://www.migalhas.com.br/depeso/295022/as-ameacas-a-lei-de-responsabilidade-fis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