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8" w:after="0"/>
        <w:ind w:left="254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359, DE 10 DE NOVEMBRO DE 2020 </w:t>
      </w:r>
    </w:p>
    <w:p>
      <w:pPr>
        <w:autoSpaceDN w:val="0"/>
        <w:autoSpaceDE w:val="0"/>
        <w:widowControl/>
        <w:spacing w:line="245" w:lineRule="auto" w:before="934" w:after="0"/>
        <w:ind w:left="5670" w:right="108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alteração de redação de artigo 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parágrafos e inclusão de parágrafo na Resolução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ARES-PCJ nº 356, de 30/09/2020, e dá outras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providências. </w:t>
      </w:r>
    </w:p>
    <w:p>
      <w:pPr>
        <w:autoSpaceDN w:val="0"/>
        <w:autoSpaceDE w:val="0"/>
        <w:widowControl/>
        <w:spacing w:line="245" w:lineRule="auto" w:before="932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suas atribuições e na forma da Cláusula 32ª, inciso III, do Protocolo de Intenções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convertido em Contrato de Consórcio Público, e o Artigo 28, inciso III, do Estatuto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Reguladora PCJ e; </w:t>
      </w:r>
    </w:p>
    <w:p>
      <w:pPr>
        <w:autoSpaceDN w:val="0"/>
        <w:autoSpaceDE w:val="0"/>
        <w:widowControl/>
        <w:spacing w:line="197" w:lineRule="auto" w:before="640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6" w:right="109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municípios associados à ARES-PCJ há prestadores de serviços públicos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 que utilizam a Contabilidade Pública (prefeituras e autarquias municipais), e que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outros há prestadores que utilizam a Contabilidade Comercial (empresas privadas e de economia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mista); </w:t>
      </w:r>
    </w:p>
    <w:p>
      <w:pPr>
        <w:autoSpaceDN w:val="0"/>
        <w:autoSpaceDE w:val="0"/>
        <w:widowControl/>
        <w:spacing w:line="245" w:lineRule="auto" w:before="348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durante a 19ª Assembleia Geral Ordinária da ARES-PCJ, através de consulta realizada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 de 21 a 25 de setembro de 2020,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foi apresentada e aprovada proposta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alíquotas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Taxa de Regulação e Fiscalização, a ser cobrada dos prestadores dos serviços água e esgoto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limpeza urbana e manejo de resíduos sólidos, no âmbito dos municípios associados à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 Exercício de 2021; </w:t>
      </w:r>
    </w:p>
    <w:p>
      <w:pPr>
        <w:autoSpaceDN w:val="0"/>
        <w:autoSpaceDE w:val="0"/>
        <w:widowControl/>
        <w:spacing w:line="245" w:lineRule="auto" w:before="344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30 de setembro de 2020 foi publicada a Resolução ARES-PCJ nº 356, que dispõe sobre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alíquotas, metodologias de apuração e forma de repasse dos valores da Taxa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referente ao Exercício de 2021; </w:t>
      </w:r>
    </w:p>
    <w:p>
      <w:pPr>
        <w:autoSpaceDN w:val="0"/>
        <w:autoSpaceDE w:val="0"/>
        <w:widowControl/>
        <w:spacing w:line="245" w:lineRule="auto" w:before="344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após a publicação da Resolução nº 356/2020, a Coordenadoria de Contabilidade Regulatória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ARES-PCJ sugeriu alterações em denominações de expressões contábeis, sem comprometer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metodologia, fórmulas matemáticas e formas de cálculo das alíquotas da taxa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Fiscalização; </w:t>
      </w:r>
    </w:p>
    <w:p>
      <w:pPr>
        <w:autoSpaceDN w:val="0"/>
        <w:autoSpaceDE w:val="0"/>
        <w:widowControl/>
        <w:spacing w:line="197" w:lineRule="auto" w:before="34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Assim, a Diretoria Executiva da Agência Reguladora PCJ, reunida em 09 de novembro de 2020,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116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352 – 20/08/2020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2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Alterar a redação dos parágrafos 1º, 2º, 3º e 4º, do Art. 2º da Resolução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356, de 30 de setembro de 2020, que passam a conter os seguintes textos: </w:t>
      </w:r>
    </w:p>
    <w:p>
      <w:pPr>
        <w:autoSpaceDN w:val="0"/>
        <w:autoSpaceDE w:val="0"/>
        <w:widowControl/>
        <w:spacing w:line="197" w:lineRule="auto" w:before="348" w:after="0"/>
        <w:ind w:left="22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</w:t>
      </w:r>
    </w:p>
    <w:p>
      <w:pPr>
        <w:autoSpaceDN w:val="0"/>
        <w:autoSpaceDE w:val="0"/>
        <w:widowControl/>
        <w:spacing w:line="197" w:lineRule="auto" w:before="344" w:after="0"/>
        <w:ind w:left="22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(...) </w:t>
      </w:r>
    </w:p>
    <w:p>
      <w:pPr>
        <w:autoSpaceDN w:val="0"/>
        <w:autoSpaceDE w:val="0"/>
        <w:widowControl/>
        <w:spacing w:line="245" w:lineRule="auto" w:before="348" w:after="0"/>
        <w:ind w:left="2268" w:right="164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“§ 1º - A metodologia de cálculo do valor da Taxa de Regulação e Fiscalização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dará em função da natureza jurídica do prestador, público ou privado, divididos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em: </w:t>
      </w:r>
    </w:p>
    <w:p>
      <w:pPr>
        <w:autoSpaceDN w:val="0"/>
        <w:autoSpaceDE w:val="0"/>
        <w:widowControl/>
        <w:spacing w:line="197" w:lineRule="auto" w:before="348" w:after="0"/>
        <w:ind w:left="22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Contabilidade Pública; </w:t>
      </w:r>
    </w:p>
    <w:p>
      <w:pPr>
        <w:autoSpaceDN w:val="0"/>
        <w:autoSpaceDE w:val="0"/>
        <w:widowControl/>
        <w:spacing w:line="197" w:lineRule="auto" w:before="344" w:after="0"/>
        <w:ind w:left="22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Contabilidade Comercial.” </w:t>
      </w:r>
      <w:r>
        <w:rPr>
          <w:rFonts w:ascii="Calibri" w:hAnsi="Calibri" w:eastAsia="Calibri"/>
          <w:b w:val="0"/>
          <w:i/>
          <w:color w:val="000000"/>
          <w:sz w:val="24"/>
        </w:rPr>
        <w:t>(NR)</w:t>
      </w:r>
    </w:p>
    <w:p>
      <w:pPr>
        <w:autoSpaceDN w:val="0"/>
        <w:autoSpaceDE w:val="0"/>
        <w:widowControl/>
        <w:spacing w:line="245" w:lineRule="auto" w:before="348" w:after="0"/>
        <w:ind w:left="2268" w:right="164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“§ 2º - Para o prestador dos serviços de água e esgoto que utiliza 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Contabilidade </w:t>
      </w:r>
      <w:r>
        <w:rPr>
          <w:rFonts w:ascii="Calibri" w:hAnsi="Calibri" w:eastAsia="Calibri"/>
          <w:b/>
          <w:i w:val="0"/>
          <w:color w:val="000000"/>
          <w:sz w:val="24"/>
        </w:rPr>
        <w:t>Pública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o valor a ser apurado da Taxa de Regulação e Fiscalização terá como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total das Receitas Correntes Arrecadadas do Exercício Anterior, subtraído o total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Receitas Patrimoniais Arrecadadas, e será calculado pela seguinte expressão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matemática: </w:t>
      </w:r>
    </w:p>
    <w:p>
      <w:pPr>
        <w:autoSpaceDN w:val="0"/>
        <w:autoSpaceDE w:val="0"/>
        <w:widowControl/>
        <w:spacing w:line="197" w:lineRule="auto" w:before="344" w:after="0"/>
        <w:ind w:left="226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TR = (RC - RP) x Alíquota </w:t>
      </w:r>
    </w:p>
    <w:p>
      <w:pPr>
        <w:autoSpaceDN w:val="0"/>
        <w:autoSpaceDE w:val="0"/>
        <w:widowControl/>
        <w:spacing w:line="245" w:lineRule="auto" w:before="348" w:after="0"/>
        <w:ind w:left="2268" w:right="388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Onde: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 = Taxa de Regulação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RC = Receita Corrente Arrecadada do Exercício Anterior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RP = Receita Patrimonial Arrecadada do Exercício Anterior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Alíquota = 0,0025” </w:t>
      </w:r>
      <w:r>
        <w:rPr>
          <w:rFonts w:ascii="Calibri" w:hAnsi="Calibri" w:eastAsia="Calibri"/>
          <w:b w:val="0"/>
          <w:i/>
          <w:color w:val="000000"/>
          <w:sz w:val="24"/>
        </w:rPr>
        <w:t>(NR)</w:t>
      </w:r>
    </w:p>
    <w:p>
      <w:pPr>
        <w:autoSpaceDN w:val="0"/>
        <w:autoSpaceDE w:val="0"/>
        <w:widowControl/>
        <w:spacing w:line="245" w:lineRule="auto" w:before="344" w:after="0"/>
        <w:ind w:left="2268" w:right="164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“§ 3º - Para o prestador dos serviços de água e esgoto que utiliza 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Contabilidade </w:t>
      </w:r>
      <w:r>
        <w:rPr>
          <w:rFonts w:ascii="Calibri" w:hAnsi="Calibri" w:eastAsia="Calibri"/>
          <w:b/>
          <w:i w:val="0"/>
          <w:color w:val="000000"/>
          <w:sz w:val="24"/>
        </w:rPr>
        <w:t>Comercial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o valor a ser apurado da Taxa de Regulação e Fiscalização terá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base o total da Receita Operacional Líquida do Exercício Anterior e será calculado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seguinte expressão matemática: </w:t>
      </w:r>
    </w:p>
    <w:p>
      <w:pPr>
        <w:autoSpaceDN w:val="0"/>
        <w:autoSpaceDE w:val="0"/>
        <w:widowControl/>
        <w:spacing w:line="197" w:lineRule="auto" w:before="346" w:after="0"/>
        <w:ind w:left="226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TR = ROL x Alíquota </w:t>
      </w:r>
    </w:p>
    <w:p>
      <w:pPr>
        <w:autoSpaceDN w:val="0"/>
        <w:autoSpaceDE w:val="0"/>
        <w:widowControl/>
        <w:spacing w:line="245" w:lineRule="auto" w:before="348" w:after="0"/>
        <w:ind w:left="2268" w:right="403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Onde: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 = Taxa de Regulação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ROL = Receita Operacional Líquida do Exercício Anterior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Alíquota = 0,0025”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(NR)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91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352 – 20/08/2020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2" w:after="0"/>
        <w:ind w:left="2268" w:right="19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“§ 4º - Para o prestador dos serviços de água e esgoto com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Concessão, a metodologia de cálculo para pagamento da Taxa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da ARES-PCJ será a mesma apresentada no § 3º, devendo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deduzidas, da Receita Operacional Liquida, as Receitas de Construção.”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(NR)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Inclui os §§ 5º e 6º ao Art. 2º da Resolução ARES-PCJ nº 356, de 30 de setembro de 2020,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seguinte redação: </w:t>
      </w:r>
    </w:p>
    <w:p>
      <w:pPr>
        <w:autoSpaceDN w:val="0"/>
        <w:autoSpaceDE w:val="0"/>
        <w:widowControl/>
        <w:spacing w:line="245" w:lineRule="auto" w:before="344" w:after="0"/>
        <w:ind w:left="2268" w:right="193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“§ 5º - O valor total apurado a ser pago de Taxa de Regulação e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prestador à ARES-PCJ será dividido em 10 (dez) parcelas mensais iguais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sequenciais repassadas todo dia 10 (dez) de cada mês, com o vencimento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primeira parcela no mês de fevereiro de 2021 e caso as datas dos vencimentos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coincidirem com sábado, domingo ou feriado, esse vencimento ficará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>prorrogado automaticamente para o primeiro dia útil subsequente.</w:t>
      </w:r>
    </w:p>
    <w:p>
      <w:pPr>
        <w:autoSpaceDN w:val="0"/>
        <w:autoSpaceDE w:val="0"/>
        <w:widowControl/>
        <w:spacing w:line="245" w:lineRule="auto" w:before="348" w:after="0"/>
        <w:ind w:left="2268" w:right="193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 -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caso de prestação de serviço através de Contrato de Concessão novo,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ainda sem histórico de Receita Operacional Líquida do Exercício Anterior, até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concessionária complete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 ciclo anual de arrecadação (de janeiro a </w:t>
      </w:r>
      <w:r>
        <w:rPr>
          <w:rFonts w:ascii="Calibri" w:hAnsi="Calibri" w:eastAsia="Calibri"/>
          <w:b w:val="0"/>
          <w:i w:val="0"/>
          <w:color w:val="000000"/>
          <w:sz w:val="24"/>
        </w:rPr>
        <w:t>dezembro),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valor total apurado a ser pago de Taxa de Regulação e Fiscalização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pelo prestador à ARES-PCJ será calculado, conforme fórmula matemática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apresentada no § 3º, porém com base na Receita Operacional Líquida Mensal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repassada todo dia 20 (vinte) </w:t>
      </w:r>
      <w:r>
        <w:rPr>
          <w:rFonts w:ascii="Calibri" w:hAnsi="Calibri" w:eastAsia="Calibri"/>
          <w:b w:val="0"/>
          <w:i w:val="0"/>
          <w:color w:val="000000"/>
          <w:sz w:val="24"/>
        </w:rPr>
        <w:t>do mês subsequente ao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da apuração dessa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receita, e caso as datas dos vencimentos coincidirem com sábado, domingo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feriado, esse vencimento ficará prorrogado automaticamente para o primeiro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dia útil subsequente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.” </w:t>
      </w:r>
      <w:r>
        <w:rPr>
          <w:rFonts w:ascii="Calibri" w:hAnsi="Calibri" w:eastAsia="Calibri"/>
          <w:b w:val="0"/>
          <w:i/>
          <w:color w:val="000000"/>
          <w:sz w:val="24"/>
        </w:rPr>
        <w:t>(NR)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Alterar a redação do Art. 5º da Resolução ARES-PCJ nº 356, de 30 de setembro de 2020,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passa a conter o seguinte texto: </w:t>
      </w:r>
    </w:p>
    <w:p>
      <w:pPr>
        <w:autoSpaceDN w:val="0"/>
        <w:autoSpaceDE w:val="0"/>
        <w:widowControl/>
        <w:spacing w:line="245" w:lineRule="auto" w:before="344" w:after="0"/>
        <w:ind w:left="2268" w:right="165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5º - Para fins de comprovação do valor correspondente à Taxa de Regulação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Fiscalização - Exercício 2021, os prestadores de serviços públicos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 deverão encaminhar para a ARES-PCJ seus respectivos balanços contábeis,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referentes ao Exercício 2020, tão logo estes forem elaborados e publicados.” </w:t>
      </w:r>
      <w:r>
        <w:rPr>
          <w:rFonts w:ascii="Calibri" w:hAnsi="Calibri" w:eastAsia="Calibri"/>
          <w:b w:val="0"/>
          <w:i/>
          <w:color w:val="000000"/>
          <w:sz w:val="24"/>
        </w:rPr>
        <w:t>(NR)</w:t>
      </w:r>
    </w:p>
    <w:p>
      <w:pPr>
        <w:autoSpaceDN w:val="0"/>
        <w:autoSpaceDE w:val="0"/>
        <w:widowControl/>
        <w:spacing w:line="197" w:lineRule="auto" w:before="34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Esta Resolução entrará em vigor na data de sua publicação. </w:t>
      </w:r>
    </w:p>
    <w:p>
      <w:pPr>
        <w:autoSpaceDN w:val="0"/>
        <w:autoSpaceDE w:val="0"/>
        <w:widowControl/>
        <w:spacing w:line="245" w:lineRule="auto" w:before="1230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150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352 – 20/08/2020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8" w:h="16836"/>
      <w:pgMar w:top="284" w:right="0" w:bottom="2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