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181610</wp:posOffset>
            </wp:positionV>
            <wp:extent cx="1003300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6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365, DE 09 DE DEZEMBRO DE 2020 </w:t>
      </w:r>
    </w:p>
    <w:p>
      <w:pPr>
        <w:autoSpaceDN w:val="0"/>
        <w:autoSpaceDE w:val="0"/>
        <w:widowControl/>
        <w:spacing w:line="292" w:lineRule="exact" w:before="588" w:after="0"/>
        <w:ind w:left="5672" w:right="1364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Serviços a serem aplicados no Município de Itu e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94" w:lineRule="exact" w:before="294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94" w:lineRule="exact" w:before="584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2" w:lineRule="exact" w:before="588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premissas constantes na Lei Federal nº 11.445, de 05/01/2007, no Decreto Federal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7.217, de 21/06/2010 e no Convênio de Cooperação nº 01/2017, pelo qual o Município de Itu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delegou o exercício das competências municipais de regulação e fiscalização da prestação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CIS – Companhia Ituana de Saneamento, responsável pelos serviços públicos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 de água e esgotamento sanitário no Município de Itu, em conformidade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Resolução ARES-PCJ nº 115, de 17/12/2015, solicitou reajuste dos valores das Tarifas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Esgoto e dos Preços Públicos dos Demais Serviços prestados no Município de Itu;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através do Parecer Consolidado nº 28/2020-CRBG, a Agência Reguladora PCJ emitiu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parecer referente ao pedido de reajuste por vislumbrar regularidade do pleito em sua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composição documental, base jurídico-legal e atendimento aos prazos e premissas definidos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pelas normas da ARES-PCJ; </w:t>
      </w:r>
    </w:p>
    <w:p>
      <w:pPr>
        <w:autoSpaceDN w:val="0"/>
        <w:autoSpaceDE w:val="0"/>
        <w:widowControl/>
        <w:spacing w:line="292" w:lineRule="exact" w:before="29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Conselho de Regulação e Controle Social (CRCS) do Município de Itu, instituído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Decreto Municipal nº 1.914/2017 e seus membros nomeados pela Portaria nº 709/2019,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17/09/2019, analisou e aprovou o conteúdo do Parecer Consolidado nº 28/2020-CRBG,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inclusive os índices propostos para o reajuste anual dos valores das Tarifas de Água e Esgoto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dos Preços Públicos dos Demais Serviços praticados pela Companhia Ituana de Saneamento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(CIS) de Itu e;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Itu, os membros da Diretoria Executiva da ARES-PCJ, por se encontrarem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sistema de </w:t>
      </w:r>
      <w:r>
        <w:rPr>
          <w:rFonts w:ascii="CIDFont+F3" w:hAnsi="CIDFont+F3" w:eastAsia="CIDFont+F3"/>
          <w:b w:val="0"/>
          <w:i/>
          <w:color w:val="000000"/>
          <w:sz w:val="24"/>
        </w:rPr>
        <w:t>home office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, reunidos através de videoconferência no dia 08 de dezembro de 2020,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82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365 – 09/12/2020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181610</wp:posOffset>
            </wp:positionV>
            <wp:extent cx="1003300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66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6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Reajustar os atuais valores das Tarifas de Água e Esgoto praticados pela CIS –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Ituana de Saneamento, em 2,47% (dois inteiros e quarenta e sete por cento). </w:t>
      </w:r>
    </w:p>
    <w:p>
      <w:pPr>
        <w:autoSpaceDN w:val="0"/>
        <w:autoSpaceDE w:val="0"/>
        <w:widowControl/>
        <w:spacing w:line="294" w:lineRule="exact" w:before="294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será aplicado a partir do mês de janeiro de 2021 em todas as faixas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Fixar os novos valores das Tarifas de Água e Esgoto praticados pela CIS – Companhia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Ituana de Saneamento, conforme apresentado na Tabela 1 do Anexo I desta Resolução.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Reajustar os atuais valores dos Preços Públicos dos Demais Serviços praticados pela CIS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– Companhia Ituana de Saneamento, em 3,92% (três inteiros e noventa e dois por cento). </w:t>
      </w:r>
    </w:p>
    <w:p>
      <w:pPr>
        <w:autoSpaceDN w:val="0"/>
        <w:autoSpaceDE w:val="0"/>
        <w:widowControl/>
        <w:spacing w:line="294" w:lineRule="exact" w:before="29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será aplicado a partir do mês de janeiro de 2021.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Fixar os novos valores dos Preços Públicos dos Demais Serviços praticados pela CIS –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Ituana de Saneamento, conforme apresentado na Tabela 2 do Anexo II desta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94" w:lineRule="exact" w:before="294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Para fins de divulgação, a CIS – Companhia Ituana de Saneamento, afixará as tabelas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os valores das Tarifas de Água e Esgoto e os novos valores dos Preços Públicos dos Demais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 em local de fácil acesso, em seu sítio na Internet e através de mensagens em suas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94" w:lineRule="exact" w:before="29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Os novos valores estabelecidos nesta Resolução somente serão praticados pela CIS –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Ituana de Saneamento, após 30 (trinta) dias da publicação desta Resolução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imprensa oficial ou em jornal de circulação no Município de Itu, conforme determina o art. 39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Lei Federal nº 11.445/2007.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94" w:lineRule="exact" w:before="29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Esta Resolução entrará em vigor na data da sua publicação. </w:t>
      </w:r>
    </w:p>
    <w:p>
      <w:pPr>
        <w:autoSpaceDN w:val="0"/>
        <w:autoSpaceDE w:val="0"/>
        <w:widowControl/>
        <w:spacing w:line="292" w:lineRule="exact" w:before="1174" w:after="0"/>
        <w:ind w:left="4608" w:right="460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46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365 – 09/12/2020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181610</wp:posOffset>
            </wp:positionV>
            <wp:extent cx="1003300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6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365, DE 09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94" w:lineRule="exact" w:before="48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6"/>
        </w:trPr>
        <w:tc>
          <w:tcPr>
            <w:tcW w:type="dxa" w:w="9654"/>
            <w:gridSpan w:val="5"/>
            <w:tcBorders>
              <w:start w:sz="1.6000000000000227" w:val="single" w:color="#000000"/>
              <w:top w:sz="1.6000000000001364" w:val="single" w:color="#000000"/>
              <w:end w:sz="2.399999999999636" w:val="single" w:color="#000000"/>
              <w:bottom w:sz="1.599999999999909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>CATEGORIA RESIDENCIAL SOCIAL</w:t>
            </w:r>
          </w:p>
        </w:tc>
      </w:tr>
      <w:tr>
        <w:trPr>
          <w:trHeight w:hRule="exact" w:val="340"/>
        </w:trPr>
        <w:tc>
          <w:tcPr>
            <w:tcW w:type="dxa" w:w="2272"/>
            <w:vMerge w:val="restart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8636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6" w:after="0"/>
              <w:ind w:left="576" w:right="432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3999999999998636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3999999999998636" w:val="single" w:color="#000000"/>
              <w:top w:sz="1.599999999999909" w:val="single" w:color="#000000"/>
              <w:end w:sz="2.399999999999636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1"/>
        </w:trPr>
        <w:tc>
          <w:tcPr>
            <w:tcW w:type="dxa" w:w="1805"/>
            <w:vMerge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8636" w:val="single" w:color="#000000"/>
            </w:tcBorders>
          </w:tcPr>
          <w:p/>
        </w:tc>
        <w:tc>
          <w:tcPr>
            <w:tcW w:type="dxa" w:w="1805"/>
            <w:vMerge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3999999999998636" w:val="single" w:color="#000000"/>
            </w:tcBorders>
          </w:tcPr>
          <w:p/>
        </w:tc>
        <w:tc>
          <w:tcPr>
            <w:tcW w:type="dxa" w:w="1990"/>
            <w:tcBorders>
              <w:start w:sz="2.3999999999998636" w:val="single" w:color="#000000"/>
              <w:top w:sz="1.599999999999909" w:val="single" w:color="#000000"/>
              <w:end w:sz="1.6000000000003638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6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2.3999999999998636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1.599999999999909" w:val="single" w:color="#000000"/>
              <w:top w:sz="2.3999999999998636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16,94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</w:tr>
      <w:tr>
        <w:trPr>
          <w:trHeight w:hRule="exact" w:val="338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</w:tr>
      <w:tr>
        <w:trPr>
          <w:trHeight w:hRule="exact" w:val="342"/>
        </w:trPr>
        <w:tc>
          <w:tcPr>
            <w:tcW w:type="dxa" w:w="227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</w:tr>
      <w:tr>
        <w:trPr>
          <w:trHeight w:hRule="exact" w:val="341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6"/>
        </w:trPr>
        <w:tc>
          <w:tcPr>
            <w:tcW w:type="dxa" w:w="9654"/>
            <w:gridSpan w:val="5"/>
            <w:tcBorders>
              <w:start w:sz="1.6000000000000227" w:val="single" w:color="#000000"/>
              <w:top w:sz="2.399999999999636" w:val="single" w:color="#000000"/>
              <w:end w:sz="2.399999999999636" w:val="single" w:color="#000000"/>
              <w:bottom w:sz="1.6000000000003638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340"/>
        </w:trPr>
        <w:tc>
          <w:tcPr>
            <w:tcW w:type="dxa" w:w="2272"/>
            <w:vMerge w:val="restart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2" w:after="0"/>
              <w:ind w:left="576" w:right="432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600000000000363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3999999999998636" w:val="single" w:color="#000000"/>
              <w:top w:sz="1.6000000000003638" w:val="single" w:color="#000000"/>
              <w:end w:sz="2.399999999999636" w:val="single" w:color="#000000"/>
              <w:bottom w:sz="2.400000000000091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1"/>
        </w:trPr>
        <w:tc>
          <w:tcPr>
            <w:tcW w:type="dxa" w:w="1805"/>
            <w:vMerge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</w:tcPr>
          <w:p/>
        </w:tc>
        <w:tc>
          <w:tcPr>
            <w:tcW w:type="dxa" w:w="1805"/>
            <w:vMerge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6000000000003638" w:val="single" w:color="#000000"/>
            </w:tcBorders>
          </w:tcPr>
          <w:p/>
        </w:tc>
        <w:tc>
          <w:tcPr>
            <w:tcW w:type="dxa" w:w="1990"/>
            <w:tcBorders>
              <w:start w:sz="2.3999999999998636" w:val="single" w:color="#000000"/>
              <w:top w:sz="2.400000000000091" w:val="single" w:color="#000000"/>
              <w:end w:sz="1.6000000000003638" w:val="single" w:color="#000000"/>
              <w:bottom w:sz="3.200000000000273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6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3.200000000000273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6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3.200000000000273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0"/>
            <w:tcBorders>
              <w:start w:sz="2.399999999999863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23,53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18,82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42,35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</w:tr>
      <w:tr>
        <w:trPr>
          <w:trHeight w:hRule="exact" w:val="341"/>
        </w:trPr>
        <w:tc>
          <w:tcPr>
            <w:tcW w:type="dxa" w:w="227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5,05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654"/>
            <w:gridSpan w:val="5"/>
            <w:tcBorders>
              <w:start w:sz="1.6000000000000227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>CATEGORIA COMERCIAL</w:t>
            </w:r>
          </w:p>
        </w:tc>
      </w:tr>
      <w:tr>
        <w:trPr>
          <w:trHeight w:hRule="exact" w:val="340"/>
        </w:trPr>
        <w:tc>
          <w:tcPr>
            <w:tcW w:type="dxa" w:w="2272"/>
            <w:vMerge w:val="restart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6" w:after="0"/>
              <w:ind w:left="576" w:right="432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600000000000363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9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3999999999998636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0"/>
        </w:trPr>
        <w:tc>
          <w:tcPr>
            <w:tcW w:type="dxa" w:w="1805"/>
            <w:vMerge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</w:tcPr>
          <w:p/>
        </w:tc>
        <w:tc>
          <w:tcPr>
            <w:tcW w:type="dxa" w:w="1805"/>
            <w:vMerge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6000000000003638" w:val="single" w:color="#000000"/>
            </w:tcBorders>
          </w:tcPr>
          <w:p/>
        </w:tc>
        <w:tc>
          <w:tcPr>
            <w:tcW w:type="dxa" w:w="1988"/>
            <w:tcBorders>
              <w:start w:sz="2.3999999999998636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6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2.3999999999998636" w:val="single" w:color="#000000"/>
              <w:top w:sz="1.6000000000003638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47,29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37,83 </w:t>
            </w:r>
          </w:p>
        </w:tc>
        <w:tc>
          <w:tcPr>
            <w:tcW w:type="dxa" w:w="1986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85,12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1.599999999999909" w:val="single" w:color="#000000"/>
              <w:top w:sz="2.399999999999636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2.399999999999636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988"/>
            <w:tcBorders>
              <w:start w:sz="1.6000000000003638" w:val="single" w:color="#000000"/>
              <w:top w:sz="2.399999999999636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986"/>
            <w:tcBorders>
              <w:start w:sz="1.599999999999909" w:val="single" w:color="#000000"/>
              <w:top w:sz="2.399999999999636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8,44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7,62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986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1.6000000000003638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7,62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986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1.599999999999909" w:val="single" w:color="#000000"/>
              <w:top w:sz="2.399999999999636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2.399999999999636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  <w:tc>
          <w:tcPr>
            <w:tcW w:type="dxa" w:w="1988"/>
            <w:tcBorders>
              <w:start w:sz="1.6000000000003638" w:val="single" w:color="#000000"/>
              <w:top w:sz="2.399999999999636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9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7,15 </w:t>
            </w:r>
          </w:p>
        </w:tc>
        <w:tc>
          <w:tcPr>
            <w:tcW w:type="dxa" w:w="1986"/>
            <w:tcBorders>
              <w:start w:sz="1.599999999999909" w:val="single" w:color="#000000"/>
              <w:top w:sz="2.399999999999636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242" w:lineRule="exact" w:before="297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365 – 09/12/2020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181610</wp:posOffset>
            </wp:positionV>
            <wp:extent cx="1003300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654"/>
            <w:gridSpan w:val="5"/>
            <w:tcBorders>
              <w:start w:sz="1.6000000000000227" w:val="single" w:color="#000000"/>
              <w:top w:sz="2.3999999999999773" w:val="single" w:color="#000000"/>
              <w:end w:sz="2.399999999999636" w:val="single" w:color="#000000"/>
              <w:bottom w:sz="2.3999999999999773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>CATEGORIA INDUSTRIAL</w:t>
            </w:r>
          </w:p>
        </w:tc>
      </w:tr>
      <w:tr>
        <w:trPr>
          <w:trHeight w:hRule="exact" w:val="340"/>
        </w:trPr>
        <w:tc>
          <w:tcPr>
            <w:tcW w:type="dxa" w:w="2272"/>
            <w:vMerge w:val="restart"/>
            <w:tcBorders>
              <w:start w:sz="1.6000000000000227" w:val="single" w:color="#000000"/>
              <w:top w:sz="2.3999999999999773" w:val="single" w:color="#000000"/>
              <w:end w:sz="1.599999999999909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8" w:after="0"/>
              <w:ind w:left="576" w:right="432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1.599999999999909" w:val="single" w:color="#000000"/>
              <w:top w:sz="2.3999999999999773" w:val="single" w:color="#000000"/>
              <w:end w:sz="2.3999999999998636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9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3999999999998636" w:val="single" w:color="#000000"/>
              <w:top w:sz="2.3999999999999773" w:val="single" w:color="#000000"/>
              <w:end w:sz="2.399999999999636" w:val="single" w:color="#000000"/>
              <w:bottom w:sz="1.6000000000001364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38"/>
        </w:trPr>
        <w:tc>
          <w:tcPr>
            <w:tcW w:type="dxa" w:w="1805"/>
            <w:vMerge/>
            <w:tcBorders>
              <w:start w:sz="1.6000000000000227" w:val="single" w:color="#000000"/>
              <w:top w:sz="2.3999999999999773" w:val="single" w:color="#000000"/>
              <w:end w:sz="1.599999999999909" w:val="single" w:color="#000000"/>
              <w:bottom w:sz="1.599999999999909" w:val="single" w:color="#000000"/>
            </w:tcBorders>
          </w:tcPr>
          <w:p/>
        </w:tc>
        <w:tc>
          <w:tcPr>
            <w:tcW w:type="dxa" w:w="1805"/>
            <w:vMerge/>
            <w:tcBorders>
              <w:start w:sz="1.599999999999909" w:val="single" w:color="#000000"/>
              <w:top w:sz="2.399999999999977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1988"/>
            <w:tcBorders>
              <w:start w:sz="2.3999999999998636" w:val="single" w:color="#000000"/>
              <w:top w:sz="1.6000000000001364" w:val="single" w:color="#000000"/>
              <w:end w:sz="1.6000000000003638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1364" w:val="single" w:color="#000000"/>
              <w:end w:sz="1.599999999999909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6"/>
            <w:tcBorders>
              <w:start w:sz="1.599999999999909" w:val="single" w:color="#000000"/>
              <w:top w:sz="1.6000000000001364" w:val="single" w:color="#000000"/>
              <w:end w:sz="2.399999999999636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2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2.3999999999998636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47,29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37,83 </w:t>
            </w:r>
          </w:p>
        </w:tc>
        <w:tc>
          <w:tcPr>
            <w:tcW w:type="dxa" w:w="198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85,12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2.400000000000091" w:val="single" w:color="#000000"/>
              <w:end w:sz="1.6000000000003638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986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8,44 </w:t>
            </w:r>
          </w:p>
        </w:tc>
      </w:tr>
      <w:tr>
        <w:trPr>
          <w:trHeight w:hRule="exact" w:val="338"/>
        </w:trPr>
        <w:tc>
          <w:tcPr>
            <w:tcW w:type="dxa" w:w="2272"/>
            <w:tcBorders>
              <w:start w:sz="1.6000000000000227" w:val="single" w:color="#000000"/>
              <w:top w:sz="1.6000000000001364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1.599999999999909" w:val="single" w:color="#000000"/>
              <w:top w:sz="1.6000000000001364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1.6000000000001364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7,62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1364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986"/>
            <w:tcBorders>
              <w:start w:sz="1.599999999999909" w:val="single" w:color="#000000"/>
              <w:top w:sz="1.6000000000001364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  <w:tr>
        <w:trPr>
          <w:trHeight w:hRule="exact" w:val="342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7,62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98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2.400000000000091" w:val="single" w:color="#000000"/>
              <w:end w:sz="1.6000000000003638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9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7,15 </w:t>
            </w:r>
          </w:p>
        </w:tc>
        <w:tc>
          <w:tcPr>
            <w:tcW w:type="dxa" w:w="1986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2"/>
        </w:trPr>
        <w:tc>
          <w:tcPr>
            <w:tcW w:type="dxa" w:w="9654"/>
            <w:gridSpan w:val="5"/>
            <w:tcBorders>
              <w:start w:sz="1.6000000000000227" w:val="single" w:color="#000000"/>
              <w:top w:sz="2.3999999999998636" w:val="single" w:color="#000000"/>
              <w:end w:sz="2.399999999999636" w:val="single" w:color="#000000"/>
              <w:bottom w:sz="1.599999999999909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 xml:space="preserve">CATEGORIA PÚBLICA </w:t>
            </w:r>
          </w:p>
        </w:tc>
      </w:tr>
      <w:tr>
        <w:trPr>
          <w:trHeight w:hRule="exact" w:val="342"/>
        </w:trPr>
        <w:tc>
          <w:tcPr>
            <w:tcW w:type="dxa" w:w="2272"/>
            <w:vMerge w:val="restart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4" w:after="0"/>
              <w:ind w:left="576" w:right="432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9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3999999999998636" w:val="single" w:color="#000000"/>
              <w:top w:sz="1.599999999999909" w:val="single" w:color="#000000"/>
              <w:end w:sz="2.399999999999636" w:val="single" w:color="#000000"/>
              <w:bottom w:sz="2.399999999999636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1"/>
        </w:trPr>
        <w:tc>
          <w:tcPr>
            <w:tcW w:type="dxa" w:w="1805"/>
            <w:vMerge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</w:tcPr>
          <w:p/>
        </w:tc>
        <w:tc>
          <w:tcPr>
            <w:tcW w:type="dxa" w:w="1805"/>
            <w:vMerge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1990"/>
            <w:tcBorders>
              <w:start w:sz="2.3999999999998636" w:val="single" w:color="#000000"/>
              <w:top w:sz="2.399999999999636" w:val="single" w:color="#000000"/>
              <w:end w:sz="1.6000000000003638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6"/>
            <w:tcBorders>
              <w:start w:sz="1.6000000000003638" w:val="single" w:color="#000000"/>
              <w:top w:sz="2.399999999999636" w:val="single" w:color="#000000"/>
              <w:end w:sz="1.599999999999909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6"/>
            <w:tcBorders>
              <w:start w:sz="1.599999999999909" w:val="single" w:color="#000000"/>
              <w:top w:sz="2.399999999999636" w:val="single" w:color="#000000"/>
              <w:end w:sz="2.399999999999636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39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35,46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28,37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63,83 </w:t>
            </w:r>
          </w:p>
        </w:tc>
      </w:tr>
      <w:tr>
        <w:trPr>
          <w:trHeight w:hRule="exact" w:val="341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3,52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</w:tr>
      <w:tr>
        <w:trPr>
          <w:trHeight w:hRule="exact" w:val="339"/>
        </w:trPr>
        <w:tc>
          <w:tcPr>
            <w:tcW w:type="dxa" w:w="227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1.599999999999909" w:val="single" w:color="#000000"/>
              <w:top w:sz="2.399999999999636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10,31 </w:t>
            </w:r>
          </w:p>
        </w:tc>
      </w:tr>
      <w:tr>
        <w:trPr>
          <w:trHeight w:hRule="exact" w:val="339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10,31 </w:t>
            </w:r>
          </w:p>
        </w:tc>
      </w:tr>
      <w:tr>
        <w:trPr>
          <w:trHeight w:hRule="exact" w:val="342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0"/>
            <w:tcBorders>
              <w:start w:sz="2.3999999999998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6,70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12,06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4"/>
        </w:trPr>
        <w:tc>
          <w:tcPr>
            <w:tcW w:type="dxa" w:w="9654"/>
            <w:gridSpan w:val="5"/>
            <w:tcBorders>
              <w:start w:sz="1.6000000000000227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>CATEGORIA PÚBLICA MUNICIPAL</w:t>
            </w:r>
          </w:p>
        </w:tc>
      </w:tr>
      <w:tr>
        <w:trPr>
          <w:trHeight w:hRule="exact" w:val="342"/>
        </w:trPr>
        <w:tc>
          <w:tcPr>
            <w:tcW w:type="dxa" w:w="2272"/>
            <w:vMerge w:val="restart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8" w:after="0"/>
              <w:ind w:left="576" w:right="432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3999999999998636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38"/>
        </w:trPr>
        <w:tc>
          <w:tcPr>
            <w:tcW w:type="dxa" w:w="1805"/>
            <w:vMerge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</w:tcPr>
          <w:p/>
        </w:tc>
        <w:tc>
          <w:tcPr>
            <w:tcW w:type="dxa" w:w="1805"/>
            <w:vMerge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1988"/>
            <w:tcBorders>
              <w:start w:sz="2.3999999999998636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1.599999999999909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2.3999999999998636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23,64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  <w:tc>
          <w:tcPr>
            <w:tcW w:type="dxa" w:w="198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42,55 </w:t>
            </w:r>
          </w:p>
        </w:tc>
      </w:tr>
      <w:tr>
        <w:trPr>
          <w:trHeight w:hRule="exact" w:val="342"/>
        </w:trPr>
        <w:tc>
          <w:tcPr>
            <w:tcW w:type="dxa" w:w="227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1.599999999999909" w:val="single" w:color="#000000"/>
              <w:top w:sz="2.400000000000091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986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</w:tr>
      <w:tr>
        <w:trPr>
          <w:trHeight w:hRule="exact" w:val="338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98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40"/>
        </w:trPr>
        <w:tc>
          <w:tcPr>
            <w:tcW w:type="dxa" w:w="227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1.599999999999909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98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42"/>
        </w:trPr>
        <w:tc>
          <w:tcPr>
            <w:tcW w:type="dxa" w:w="227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1.599999999999909" w:val="single" w:color="#000000"/>
              <w:top w:sz="2.399999999999636" w:val="single" w:color="#000000"/>
              <w:end w:sz="2.3999999999998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2.3999999999998636" w:val="single" w:color="#000000"/>
              <w:top w:sz="2.399999999999636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988"/>
            <w:tcBorders>
              <w:start w:sz="1.6000000000003638" w:val="single" w:color="#000000"/>
              <w:top w:sz="2.399999999999636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9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  <w:tc>
          <w:tcPr>
            <w:tcW w:type="dxa" w:w="1986"/>
            <w:tcBorders>
              <w:start w:sz="1.599999999999909" w:val="single" w:color="#000000"/>
              <w:top w:sz="2.399999999999636" w:val="single" w:color="#000000"/>
              <w:end w:sz="2.399999999999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8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8,05 </w:t>
            </w:r>
          </w:p>
        </w:tc>
      </w:tr>
    </w:tbl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Nota: Os valores das Tarifas de Esgoto correspondem a 80% dos valores das Tarifas de Água.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410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365 – 09/12/2020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181610</wp:posOffset>
            </wp:positionV>
            <wp:extent cx="1003300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66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1) TARIFA DE ÁGUA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reais, como nos </w:t>
      </w:r>
      <w:r>
        <w:rPr>
          <w:rFonts w:ascii="CIDFont+F1" w:hAnsi="CIDFont+F1" w:eastAsia="CIDFont+F1"/>
          <w:b w:val="0"/>
          <w:i w:val="0"/>
          <w:color w:val="000000"/>
          <w:sz w:val="24"/>
          <w:u w:val="single"/>
        </w:rPr>
        <w:t>exemplos abaixo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92" w:lineRule="exact" w:before="296" w:after="0"/>
        <w:ind w:left="1984" w:right="4032" w:hanging="282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(Consumo Mínimo (até 10 m³) = R$ 23,53)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= R$ 23,53 </w:t>
      </w:r>
    </w:p>
    <w:p>
      <w:pPr>
        <w:autoSpaceDN w:val="0"/>
        <w:tabs>
          <w:tab w:pos="1984" w:val="left"/>
        </w:tabs>
        <w:autoSpaceDE w:val="0"/>
        <w:widowControl/>
        <w:spacing w:line="292" w:lineRule="exact" w:before="294" w:after="0"/>
        <w:ind w:left="1702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(Consumo Mínimo (10 m³) = R$ 23,53) + (1ª Faixa = 10 m³ x R$ 2,77/m³)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+ (2ª Faixa = 5 m³ x R$ 4,22/m³)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R$ 23,53 + R$ 27,70 + R$ 42,20 </w:t>
      </w:r>
      <w:r>
        <w:br/>
      </w:r>
      <w:r>
        <w:tab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= R$ 93,43 </w:t>
      </w:r>
    </w:p>
    <w:p>
      <w:pPr>
        <w:autoSpaceDN w:val="0"/>
        <w:autoSpaceDE w:val="0"/>
        <w:widowControl/>
        <w:spacing w:line="294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2) TARIFA DE ESGOTO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IDFont+F2" w:hAnsi="CIDFont+F2" w:eastAsia="CIDFont+F2"/>
          <w:b/>
          <w:i w:val="0"/>
          <w:color w:val="000000"/>
          <w:sz w:val="24"/>
        </w:rPr>
        <w:t>50%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94" w:lineRule="exact" w:before="292" w:after="0"/>
        <w:ind w:left="1984" w:right="3888" w:hanging="282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(Consumo Mínimo (até 10 m³) = R$ 18,82)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Esgoto = R$ 18,82 </w:t>
      </w:r>
    </w:p>
    <w:p>
      <w:pPr>
        <w:autoSpaceDN w:val="0"/>
        <w:tabs>
          <w:tab w:pos="1984" w:val="left"/>
        </w:tabs>
        <w:autoSpaceDE w:val="0"/>
        <w:widowControl/>
        <w:spacing w:line="292" w:lineRule="exact" w:before="294" w:after="0"/>
        <w:ind w:left="1702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(Consumo Mínimo (10 m³) = R$ 18,82) + (1ª Faixa = 10 m³ x R$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2,22/m³) + (2ª Faixa = 5 m³ x R$ 3,38/m³)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R$ 18,82 + R$ 22,20 + R$ 33,80 </w:t>
      </w:r>
      <w:r>
        <w:br/>
      </w:r>
      <w:r>
        <w:tab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Esgoto = R$ 74,82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94" w:lineRule="exact" w:before="292" w:after="0"/>
        <w:ind w:left="1418" w:right="3312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R$ 23,53) + (Tarifa de Esgoto = R$ 18,82)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R$ 23,53 + R$ 18,82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Tarifa Total = R$ 42,35</w:t>
      </w:r>
    </w:p>
    <w:p>
      <w:pPr>
        <w:autoSpaceDN w:val="0"/>
        <w:autoSpaceDE w:val="0"/>
        <w:widowControl/>
        <w:spacing w:line="292" w:lineRule="exact" w:before="294" w:after="0"/>
        <w:ind w:left="1418" w:right="3312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R$ 93,43) + (Tarifa de Esgoto = R$ 74,82)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R$ 93,43 + R$ 74,82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= R$ 168,25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87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365 – 09/12/2020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181610</wp:posOffset>
            </wp:positionV>
            <wp:extent cx="1003300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6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365, DE 09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92" w:lineRule="exact" w:before="292" w:after="29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78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 ESGOTO </w:t>
            </w:r>
          </w:p>
        </w:tc>
      </w:tr>
      <w:tr>
        <w:trPr>
          <w:trHeight w:hRule="exact" w:val="35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Ligação de Água e Esgoto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Unid.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489,68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770,88</w:t>
            </w:r>
          </w:p>
        </w:tc>
      </w:tr>
      <w:tr>
        <w:trPr>
          <w:trHeight w:hRule="exact" w:val="35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Extensão adicional de rede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Metro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110,16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273,61</w:t>
            </w:r>
          </w:p>
        </w:tc>
      </w:tr>
      <w:tr>
        <w:trPr>
          <w:trHeight w:hRule="exact" w:val="594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2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Corte/Supressão de ligação no cavalete 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pedido do usuário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Unid.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69,77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13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60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Corte/Supressão de ligação no ramal/passeio 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pedido do usuário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Unid.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99,37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13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594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2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Suspensão temporária de abastecimento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água a pedido do usuário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Unid.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140,79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Relocação ou substituição de ramal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Unid.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201,06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285,53</w:t>
            </w:r>
          </w:p>
        </w:tc>
      </w:tr>
      <w:tr>
        <w:trPr>
          <w:trHeight w:hRule="exact" w:val="350"/>
        </w:trPr>
        <w:tc>
          <w:tcPr>
            <w:tcW w:type="dxa" w:w="48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Conserto ou desobstrução de ramal </w:t>
            </w:r>
          </w:p>
        </w:tc>
        <w:tc>
          <w:tcPr>
            <w:tcW w:type="dxa" w:w="15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60,30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60,30 </w:t>
            </w:r>
          </w:p>
        </w:tc>
      </w:tr>
      <w:tr>
        <w:trPr>
          <w:trHeight w:hRule="exact" w:val="596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2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Fornecimento, conserto ou substituição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hidrômetro até Q. máx. = 3m³/h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91,30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47,72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594"/>
        </w:trPr>
        <w:tc>
          <w:tcPr>
            <w:tcW w:type="dxa" w:w="48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2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Substituição e instalação de hidrômetro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violado ou danificado ou por motivo de furto </w:t>
            </w:r>
          </w:p>
        </w:tc>
        <w:tc>
          <w:tcPr>
            <w:tcW w:type="dxa" w:w="15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88,46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596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2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Religação devido ao corte no cavalete ou no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ramal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72,67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Fornecimento de água por caminhão pipa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10,48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Recebimento de esgoto de fossas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10,48 </w:t>
            </w:r>
          </w:p>
        </w:tc>
      </w:tr>
      <w:tr>
        <w:trPr>
          <w:trHeight w:hRule="exact" w:val="35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Recebimento de conta fora do sistema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Análises laboratoriais solicitadas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16"/>
              </w:rPr>
              <w:t>(1)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20,73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888"/>
        </w:trPr>
        <w:tc>
          <w:tcPr>
            <w:tcW w:type="dxa" w:w="48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2" w:right="72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Aprovação de projeto de loteamento ou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conjunto habitacional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(residencial/comercial/industrial) </w:t>
            </w:r>
          </w:p>
        </w:tc>
        <w:tc>
          <w:tcPr>
            <w:tcW w:type="dxa" w:w="15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594"/>
        </w:trPr>
        <w:tc>
          <w:tcPr>
            <w:tcW w:type="dxa" w:w="48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2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Revisão de projetos para empreendimentos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residenciais/comerciais/industriais </w:t>
            </w:r>
          </w:p>
        </w:tc>
        <w:tc>
          <w:tcPr>
            <w:tcW w:type="dxa" w:w="15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Lote /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Apartamento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</w:tr>
      <w:tr>
        <w:trPr>
          <w:trHeight w:hRule="exact" w:val="89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2" w:right="144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Vistoria de entrega de empreendimento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residencial, industrial e/ou comercial, a partir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 segunda inspeção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9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Vistoria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9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253,43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94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253,43 </w:t>
            </w:r>
          </w:p>
        </w:tc>
      </w:tr>
      <w:tr>
        <w:trPr>
          <w:trHeight w:hRule="exact" w:val="598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Elaboração de Diretriz para empreendimentos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residenciais, comerciais/industriais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Diretriz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684,16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684,16 </w:t>
            </w:r>
          </w:p>
        </w:tc>
      </w:tr>
      <w:tr>
        <w:trPr>
          <w:trHeight w:hRule="exact" w:val="1182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2" w:right="48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Revisão de Diretriz de empreendimento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residencial, comercial ou industrial no caso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alteração de projeto e/ou proprietário do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empreendimento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diretriz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684,16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684,16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242" w:lineRule="exact" w:before="19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365 – 09/12/2020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181610</wp:posOffset>
            </wp:positionV>
            <wp:extent cx="1003300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1768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2" w:right="50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Visita técnica solicitada pelo usuário e/ou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proprietário do imóvel, quando improdutiva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(ocorre quando uma visita é realizada sem que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houvesse necessidade ou um serviço deixa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 executado por ausência, omissão ou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negligência do ciente durante o atendimento)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30,68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30,68</w:t>
            </w:r>
          </w:p>
        </w:tc>
      </w:tr>
      <w:tr>
        <w:trPr>
          <w:trHeight w:hRule="exact" w:val="338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Mudança de cavalete até 1m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113,01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Substituição de Ligação de Água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489,68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8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Substituição de Ligação de Água COM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supressão de ligação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589,05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Instalação de Válvula de Retenção de Esgoto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170,51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48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Instalação de Caixa Padrão Passeio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107,52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6"/>
        </w:trPr>
        <w:tc>
          <w:tcPr>
            <w:tcW w:type="dxa" w:w="48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0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Manutenção de caixa no passeio, troca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tampa ou limpeza </w:t>
            </w:r>
          </w:p>
        </w:tc>
        <w:tc>
          <w:tcPr>
            <w:tcW w:type="dxa" w:w="15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0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192,79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0208" w:val="left"/>
        </w:tabs>
        <w:autoSpaceDE w:val="0"/>
        <w:widowControl/>
        <w:spacing w:line="242" w:lineRule="exact" w:before="902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365 – 09/12/2020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