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376, DE 23 DE FEVEREIRO DE 2021 </w:t>
      </w:r>
    </w:p>
    <w:p>
      <w:pPr>
        <w:autoSpaceDN w:val="0"/>
        <w:autoSpaceDE w:val="0"/>
        <w:widowControl/>
        <w:spacing w:line="245" w:lineRule="auto" w:before="934" w:after="0"/>
        <w:ind w:left="5904" w:right="100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e altera parcialmente a redação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artigos, parágrafos e incisos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137, de 19/04/2016, que dispõe sobre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 Município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de Piracicaba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providências correlatas. </w:t>
      </w:r>
    </w:p>
    <w:p>
      <w:pPr>
        <w:autoSpaceDN w:val="0"/>
        <w:autoSpaceDE w:val="0"/>
        <w:widowControl/>
        <w:spacing w:line="245" w:lineRule="auto" w:before="85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</w:t>
      </w:r>
      <w:r>
        <w:rPr>
          <w:rFonts w:ascii="Calibri" w:hAnsi="Calibri" w:eastAsia="Calibri"/>
          <w:b w:val="0"/>
          <w:i w:val="0"/>
          <w:color w:val="000000"/>
          <w:sz w:val="22"/>
        </w:rPr>
        <w:t>rts. 45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e 46, que 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Regulamento de Prestação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técnica e jurídica, concluiu não ter competência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Instância Administrativa Recursal na análise de recursos administrativos relativos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penalidades e multas aplicadas pelo SEMAE - Serviço Municipal de Água e Esgoto de Piracicaba,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autarquia municipal e responsável pelos serviços de abastecimento público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do Município de Piracicaba, aos usuários, em conformidade com a Resolução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50;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de análise concluiu que tais alterações no Regulamento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 atendem aos conteúdos mínimos estabelecidos pela Resolução ARES-PCJ nº 50,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28/02/2014, para a eficiente prestação dos serviços e aplicabilidade de penalidades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supostamente se fizerem necessárias;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23 de fevereiro de 2021;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376 – 23/02/2021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parcialmente a redação do inciso VIII, do artigo 19,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137, de 19/04/2016, que passa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</w:t>
      </w:r>
      <w:r>
        <w:rPr>
          <w:rFonts w:ascii="Calibri" w:hAnsi="Calibri" w:eastAsia="Calibri"/>
          <w:b w:val="0"/>
          <w:i/>
          <w:color w:val="000000"/>
          <w:sz w:val="24"/>
        </w:rPr>
        <w:t>19. [...]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[...]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VIII – Fazer reclamações administrativas à AGÊNCIA REGULADORA, caso não seja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atendido pelo PRESTADOR DE SERVIÇOS.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” (NR)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Revogar o parágrafo 3º, do artigo 124, da Resolução ARES-PCJ nº 137, de 19/04/2016,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permanecendo os demais incisos e parágrafos do artigo com suas respectivas redações: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“Art. 124. [...]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4" w:after="0"/>
        <w:ind w:left="2268" w:right="1654" w:firstLine="0"/>
        <w:jc w:val="both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§ 3º - Da decisão do PRESTADOR DE SERVIÇOS caberá recurso, no prazo de 15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(quinze) dias, à ARES-PCJ, sendo recebido em seu efeito suspensivo, exceto por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deliberação em contrário da Agência, nos termos do seu Regimento Interno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Revogar integralmente o artigo 141 da Resolução ARES-PCJ nº 137, de 19/04/2016: </w:t>
      </w:r>
    </w:p>
    <w:p>
      <w:pPr>
        <w:autoSpaceDN w:val="0"/>
        <w:autoSpaceDE w:val="0"/>
        <w:widowControl/>
        <w:spacing w:line="245" w:lineRule="auto" w:before="348" w:after="0"/>
        <w:ind w:left="2268" w:right="1656" w:firstLine="0"/>
        <w:jc w:val="both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“Art. 141. Das penalidades aplicadas caberá recurso à AGÊNCIA REGULADORA, no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prazo de 10 (dez) dias a contar da publicação da decisão, sendo que referida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AGÊNCIA REGULADORA deliberará sobre os efeitos do recurso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23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376 – 23/02/2021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