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381, DE 16 DE MARÇO DE 2021 </w:t>
      </w:r>
    </w:p>
    <w:p>
      <w:pPr>
        <w:autoSpaceDN w:val="0"/>
        <w:autoSpaceDE w:val="0"/>
        <w:widowControl/>
        <w:spacing w:line="245" w:lineRule="auto" w:before="642" w:after="0"/>
        <w:ind w:left="5954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Revoga a redação de parágrafo de artigo da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277, de 31/01/2019,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que dispõe sobre a </w:t>
      </w:r>
      <w:r>
        <w:rPr>
          <w:rFonts w:ascii="Calibri" w:hAnsi="Calibri" w:eastAsia="Calibri"/>
          <w:b w:val="0"/>
          <w:i/>
          <w:color w:val="000000"/>
          <w:sz w:val="24"/>
        </w:rPr>
        <w:t>aprovação do Regulamento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de Prestação dos Serviços e Atendimento aos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Usuários do Município de Atibaia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,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 correlatas. </w:t>
      </w:r>
    </w:p>
    <w:p>
      <w:pPr>
        <w:autoSpaceDN w:val="0"/>
        <w:autoSpaceDE w:val="0"/>
        <w:widowControl/>
        <w:spacing w:line="245" w:lineRule="auto" w:before="93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que define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ARES-PCJ nº 50, de 28/02/2014, em especial nos arts.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45 e 46, que delimitam a forma e a obrigação do prestador de serviços de saneamento básico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editar o Regulamento de Prestação de Serviços visando a divulgação do padrão normativo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análise técnica e jurídica, concluiu não ter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competência de Instância Administrativa Recursal na análise de recursos administrativos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relativos às penalidades e multas aplicadas pela SAAE – Companhia de Saneamento Ambiental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Atibaia, responsável pelos serviços de abastecimento público e esgotamento sanitário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Atibaia, aos usuários, em conformidade com a Resolução ARES-PCJ nº 50;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análise concluiu que tal alteração no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Prestador atende ao conteúdo mínimo estabelecido pela Resolução ARES-PCJ nº 50,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28/02/2014, para a eficiente prestação dos serviços e aplicabilidade de penalidades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supostamente se fizerem necessárias;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15 de março de 2021;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304" w:val="left"/>
        </w:tabs>
        <w:autoSpaceDE w:val="0"/>
        <w:widowControl/>
        <w:spacing w:line="197" w:lineRule="auto" w:before="57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381 – 16/03/2021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3331210</wp:posOffset>
            </wp:positionH>
            <wp:positionV relativeFrom="page">
              <wp:posOffset>360680</wp:posOffset>
            </wp:positionV>
            <wp:extent cx="899160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Revogar integramente o parágrafo 3º e renumerar os demais parágrafos do artigo 93,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A, da Resolução ARES-PCJ nº 277, de 31/01/de 2019, permanecendo 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parágrafos do artigo com suas respectivas redações: </w:t>
      </w:r>
    </w:p>
    <w:p>
      <w:pPr>
        <w:autoSpaceDN w:val="0"/>
        <w:autoSpaceDE w:val="0"/>
        <w:widowControl/>
        <w:spacing w:line="245" w:lineRule="auto" w:before="348" w:after="0"/>
        <w:ind w:left="2268" w:right="1928" w:firstLine="0"/>
        <w:jc w:val="both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“Art. 93. A SAAE deliberará no prazo de 15 (quinze) dias, contados do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recebimento do recurso, o qual, se indeferido, deverá ser comunicado ao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usuário, por escrito, juntamente com a respectiva fatura, quando pertinente, a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qual deverá referir-se exclusivamente ao ajuste do faturamento, com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vencimento previsto para 3 (três) dias úteis. </w:t>
      </w:r>
    </w:p>
    <w:p>
      <w:pPr>
        <w:autoSpaceDN w:val="0"/>
        <w:autoSpaceDE w:val="0"/>
        <w:widowControl/>
        <w:spacing w:line="245" w:lineRule="auto" w:before="346" w:after="0"/>
        <w:ind w:left="2268" w:right="1872" w:firstLine="0"/>
        <w:jc w:val="left"/>
      </w:pPr>
      <w:r>
        <w:rPr>
          <w:rFonts w:ascii="Calibri" w:hAnsi="Calibri" w:eastAsia="Calibri"/>
          <w:b w:val="0"/>
          <w:i/>
          <w:strike/>
          <w:color w:val="00000A"/>
          <w:sz w:val="24"/>
        </w:rPr>
        <w:t>§ 3°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Da decisão da SAAE caberá recurso, no prazo de 15 (quinze) dias, à ARES-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PCJ, sendo recebido em seu efeito suspensivo, exceto por deliberação em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A"/>
          <w:sz w:val="24"/>
        </w:rPr>
        <w:t>contrário da Agência, nos termos do seu Regimento Interno.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2268" w:right="1872" w:firstLine="0"/>
        <w:jc w:val="left"/>
      </w:pPr>
      <w:r>
        <w:rPr>
          <w:rFonts w:ascii="Calibri" w:hAnsi="Calibri" w:eastAsia="Calibri"/>
          <w:b w:val="0"/>
          <w:i/>
          <w:strike/>
          <w:color w:val="00000A"/>
          <w:sz w:val="24"/>
        </w:rPr>
        <w:t>§ 4º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§ 1º - Os recursos interpostos por partes ilegítimas, bem como os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intempestivos, não serão apreciados. (NR) </w:t>
      </w:r>
    </w:p>
    <w:p>
      <w:pPr>
        <w:autoSpaceDN w:val="0"/>
        <w:autoSpaceDE w:val="0"/>
        <w:widowControl/>
        <w:spacing w:line="245" w:lineRule="auto" w:before="344" w:after="0"/>
        <w:ind w:left="2268" w:right="1936" w:firstLine="0"/>
        <w:jc w:val="both"/>
      </w:pPr>
      <w:r>
        <w:rPr>
          <w:rFonts w:ascii="Calibri" w:hAnsi="Calibri" w:eastAsia="Calibri"/>
          <w:b w:val="0"/>
          <w:i/>
          <w:strike/>
          <w:color w:val="00000A"/>
          <w:sz w:val="24"/>
        </w:rPr>
        <w:t>§ 5º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 § 2º - Se o recurso for julgado improcedente, eventuais valores devidos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serão atualizados monetariamente e acrescidas de multa e juros de mora, a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partir do vencimento. (NR)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12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04" w:val="left"/>
        </w:tabs>
        <w:autoSpaceDE w:val="0"/>
        <w:widowControl/>
        <w:spacing w:line="197" w:lineRule="auto" w:before="41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381 – 16/03/2021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40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