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8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382, DE 19 DE MARÇO DE 2021 </w:t>
      </w:r>
    </w:p>
    <w:p>
      <w:pPr>
        <w:autoSpaceDN w:val="0"/>
        <w:autoSpaceDE w:val="0"/>
        <w:widowControl/>
        <w:spacing w:line="245" w:lineRule="auto" w:before="640" w:after="0"/>
        <w:ind w:left="5672" w:right="108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as Condições Gerais de Prestação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Públicos de Abastecimento de Água Tratada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de Esgotamento Sanitário, no âmbito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municípios associados à Agência Reguladora PCJ,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durante o período de excepcionalidade, emergencial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atípico, em continuidade ao enfrentamento da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pandemia de COVID-19,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atribuições e na forma da Cláusula 32ª, inciso III, do Protocolo de Intenções da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do Artigo 28, inciso III, do Estatuto Social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nos termos do artigo 23, incisos I e X, confere à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competência para editar normas regulatórias de natureza técnica, econômica e social,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incluindo padrões de qualidade na prestação dos serviços e no atendimento ao público;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dos Serviços de Saneamento das Bacias dos Rios Piracicaba, Capivari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Jundiaí (ARES-PCJ) recebeu delegação para regular e fiscalizar a prestação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de seus 58 (cinquenta e oito) municípios associados;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dos Serviços de Saneamento Básico das Bacias dos Rios Piracicaba,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Capivari e Jundiaí tem o dever legal de zelar pelo pleno exercício da atividade regulatória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saneamento básico nos Municípios Associados, mantendo a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por meio de suas atribuições legais e regulamentares;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</w:t>
      </w:r>
      <w:r>
        <w:rPr>
          <w:rFonts w:ascii="Calibri" w:hAnsi="Calibri" w:eastAsia="Calibri"/>
          <w:b w:val="0"/>
          <w:i w:val="0"/>
          <w:color w:val="000000"/>
          <w:sz w:val="24"/>
        </w:rPr>
        <w:t>a existência de pandemia de COVID-19, nos termos declarados pel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Organização Mundial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Saúde (OMS)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11 de março de 2020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 consequente necessidade de adoção de medidas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prevenção e redução dos riscos de disseminação e contágio, demanda alternativas cautelosas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defesa da sobrevivência de usuários e prestadores dos serviços de saneamento básico;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medidas já determinadas pelas autoridades sanitárias e pelos poderes executivos nos três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níveis de governo, as quais impossibilitam a manutenção das atividades normais de trabalho; </w:t>
      </w:r>
    </w:p>
    <w:p>
      <w:pPr>
        <w:autoSpaceDN w:val="0"/>
        <w:tabs>
          <w:tab w:pos="10674" w:val="left"/>
        </w:tabs>
        <w:autoSpaceDE w:val="0"/>
        <w:widowControl/>
        <w:spacing w:line="197" w:lineRule="auto" w:before="116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382 – 19/03/2021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aplicação de alguns dispositivos normativos (resoluções) emitidos por esta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precisam ser suspensos temporariamente, em virtude da referida situação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excepcional de calamidade pública;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é questão condicionante à validade de todas as ações descritas nesta Resolução que o titular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saneamento (Poder Executivo Municipal) decrete o estado de calamidade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meio de normativa própria, sem a qual as ações temporárias aqui descritas não têm validade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respectivo prestador dos serviços de saneamento básico;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período de excepcionalidade, emergencial e atípico para enfrentamento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pandemia de COVID-19 (novo Coronavírus), sobretudo diante do agravamento do advento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pandêmico, claramente verificado na nova decretação das fases vermelha e emergencial, no 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de março de 2021, pelo Governo do Estado de São Paulo, impossibilitando atividades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econômicas e expedientes laborais em todo o Estado, a Diretoria Executiva da ARES-PCJ, reunida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19 de março de 2021,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Editar normativa sobre as condições gerais de prestação dos serviços públicos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tratada e de esgotamento sanitário, a ser aplicada pelos prestadores desses serviços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municípios associados à Agência Reguladora PCJ com decreto de estado de calamidade pública,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abrangente também ao setor de saneamento, em face da pandemia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COVID-19.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5472" w:right="518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OBJETO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Esta Resolução estabelece as condições gerais de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tratada e de esgotamento sanitário, a ser aplicada pelos prestadores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desses serviços dos municípios associados à Agência Reguladora PCJ com decreto de estado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calamidade pública, abrangente também ao setor de saneamento, em face da pandemia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COVID-19. </w:t>
      </w:r>
    </w:p>
    <w:p>
      <w:pPr>
        <w:autoSpaceDN w:val="0"/>
        <w:autoSpaceDE w:val="0"/>
        <w:widowControl/>
        <w:spacing w:line="245" w:lineRule="auto" w:before="640" w:after="0"/>
        <w:ind w:left="4608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PRERROGATIVAS DO TÍTULAR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Decretado estado de calamidade pública municipal, fica assegurado ao Poder Executivo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exercer suas prerrogativas de titular dos serviços de saneamento, conforme itens 1.1, 1.2 e 1.3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Nota Técnica, Anexo I desta Resolução, sendo elas: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suspensão dos atuais processos de reajustes tarifários em curso na ARES-PCJ e de novos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protocolos de reajustes, durante o período de vigência da presente Resolução;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674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382 – 19/03/2021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suspensão dos atuais processos de reajustes tarifários de prestadores públicos em curso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e de novos protocolos de reajustes de prestadores públicos, durante o período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vigência da presente Resolução;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(Redação dada pela Resolução ARES-PCJ nº 390, de 08/08/2021) </w:t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isenção de tarifas de água e esgoto a categorias (tarifa social, por exemplo);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suspensão de corte por inadimplência;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prorrogação de vencimentos de contas em período de isolamento social;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regras especiais para faturamento e pagamento. </w:t>
      </w:r>
    </w:p>
    <w:p>
      <w:pPr>
        <w:autoSpaceDN w:val="0"/>
        <w:autoSpaceDE w:val="0"/>
        <w:widowControl/>
        <w:spacing w:line="245" w:lineRule="auto" w:before="346" w:after="0"/>
        <w:ind w:left="4608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DIRETRIZES OPERACIONAIS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Os princípios básicos da prestação de serviços de abastecimento de água tratada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tais como qualidade, regularidade e segurança, são invioláveis e devem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mantidos mesmo que em períodos de crise sanitária e calamidade, com o atendimento pleno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Padrão de Potabilidade, estabelecido pelo Anexo XX da Portaria de Consolidação nº 5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Ministério da Saúde, e aos critérios de lançamento de efluentes tratados, apresentados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Estadual nº 8.468/1976, conforme item 2.1 da Nota Técnica,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 prestador de serviços de saneamento básico, a seu critério, poderá deliberar sobre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 do consumo de água através da utilização de média registrada no histórico de leituras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fora do intervalo previsto no art. 87, §1º da Resolução ARES-PCJ nº 50/2014, durante o período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enfrentamento da pandemia de COVID-19 e decretação de estado de calamidade no âmbito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municipal, conforme item 2.2 da Nota Técnica, Anexo I desta Resolução, desde que a prática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implique em ônus excessivo ao usuário, independentemente de demanda do consumidor.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realização de faturamento pela média deve ser amplamente divulgada pelo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através de seu sítio eletrônico na Internet e redes sociais, informando critérios e canais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atendimento ao usuário em caso de dúvidas.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 realização de faturamento por autoleitura é incentivada e deverá ser regulamentada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e amplamente divulgada aos usuários, com a definição de canal específico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telefone ou correio eletrônica (e-mail) e com capacidade suficiente para absorver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demandas. </w:t>
      </w:r>
    </w:p>
    <w:p>
      <w:pPr>
        <w:autoSpaceDN w:val="0"/>
        <w:autoSpaceDE w:val="0"/>
        <w:widowControl/>
        <w:spacing w:line="245" w:lineRule="auto" w:before="344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No caso de faturamento a menor, a diferença entre os valores faturados e aqueles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efetivamente devidos, poderá ser parcelada pelo prestador, desde que o número mínimo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parcelas seja igual ao número de meses em que o faturamento foi efetuado pela média,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 alteração do banco de dados.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No caso de faturamento a maior, a diferença entre os valores faturados e aqueles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efetivamente devidos, poderá ser creditada nas próximas faturas em período proporcional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mesmo período em que não houve leitura, com respectiva alteração do banco de dados.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5º É vedado o lançamento das faturas de forma cumulativa aos períodos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faturados pela média,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a incidência de juros e multa. </w:t>
      </w:r>
    </w:p>
    <w:p>
      <w:pPr>
        <w:autoSpaceDN w:val="0"/>
        <w:tabs>
          <w:tab w:pos="10674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382 – 19/03/2021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3888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GESTÃO ADMINISTRATIVA E EMPRESARIAL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Decretado estado de calamidade pública municipal, o prestador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saneamento, através de ato administrativo, definirá os mecanismos e métodos a serem adotados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quanto à saúde e segurança de seus funcionários e quanto ao atendimento presencial e remoto,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itens 3.1 e 3.2 da Nota Técnica, Anexo I desta Resolução. </w:t>
      </w:r>
    </w:p>
    <w:p>
      <w:pPr>
        <w:autoSpaceDN w:val="0"/>
        <w:autoSpaceDE w:val="0"/>
        <w:widowControl/>
        <w:spacing w:line="245" w:lineRule="auto" w:before="638" w:after="0"/>
        <w:ind w:left="3600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CONSELHO DE REGULAÇÃO E CONTROLE SOCIAL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6º. O Controle Social, tipificado nos termos do artigo 47 da Lei Federal nº 11.445/2007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regulamentado pela Resolução ARES-PCJ nº 01/2011, será exercido na forma digital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especialmente representado pelos membros dos Conselhos de Regulação e Controle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(CRCS) através de videoconferência ou manifestações virtuais. </w:t>
      </w:r>
    </w:p>
    <w:p>
      <w:pPr>
        <w:autoSpaceDN w:val="0"/>
        <w:autoSpaceDE w:val="0"/>
        <w:widowControl/>
        <w:spacing w:line="245" w:lineRule="auto" w:before="322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7º. Esta Resolução entrará em vigor na data de sua publicação pelo período de 90 (noventa)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dias, prorrogáveis por critério da Diretoria Executiva da ARES-PCJ. </w:t>
      </w:r>
    </w:p>
    <w:p>
      <w:pPr>
        <w:autoSpaceDN w:val="0"/>
        <w:autoSpaceDE w:val="0"/>
        <w:widowControl/>
        <w:spacing w:line="245" w:lineRule="auto" w:before="1228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674" w:val="left"/>
        </w:tabs>
        <w:autoSpaceDE w:val="0"/>
        <w:widowControl/>
        <w:spacing w:line="197" w:lineRule="auto" w:before="62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382 – 19/03/2021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4" w:after="0"/>
        <w:ind w:left="0" w:right="534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>ANEXO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 </w:t>
      </w:r>
    </w:p>
    <w:p>
      <w:pPr>
        <w:autoSpaceDN w:val="0"/>
        <w:autoSpaceDE w:val="0"/>
        <w:widowControl/>
        <w:spacing w:line="197" w:lineRule="auto" w:before="344" w:after="0"/>
        <w:ind w:left="0" w:right="336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>NOTA</w:t>
      </w:r>
      <w:r>
        <w:rPr>
          <w:rFonts w:ascii="Calibri" w:hAnsi="Calibri" w:eastAsia="Calibri"/>
          <w:b/>
          <w:i w:val="0"/>
          <w:color w:val="000000"/>
          <w:sz w:val="24"/>
        </w:rPr>
        <w:t>TÉCNICA</w:t>
      </w:r>
      <w:r>
        <w:rPr>
          <w:rFonts w:ascii="Calibri" w:hAnsi="Calibri" w:eastAsia="Calibri"/>
          <w:b/>
          <w:i w:val="0"/>
          <w:color w:val="000000"/>
          <w:sz w:val="24"/>
        </w:rPr>
        <w:t>DIRETORIA</w:t>
      </w:r>
      <w:r>
        <w:rPr>
          <w:rFonts w:ascii="Calibri" w:hAnsi="Calibri" w:eastAsia="Calibri"/>
          <w:b/>
          <w:i w:val="0"/>
          <w:color w:val="000000"/>
          <w:sz w:val="24"/>
        </w:rPr>
        <w:t>EXECUTIVA</w:t>
      </w:r>
      <w:r>
        <w:rPr>
          <w:rFonts w:ascii="Calibri" w:hAnsi="Calibri" w:eastAsia="Calibri"/>
          <w:b/>
          <w:i w:val="0"/>
          <w:color w:val="000000"/>
          <w:sz w:val="24"/>
        </w:rPr>
        <w:t>-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01/2020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1134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pandemia de COVID-19 tem apresentado preocupante agravamento, pedindo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rápidas e eficazes respostas do poder público, tanto no enfrentamento médico, quanto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medidas econômicas mitigadoras dos efeitos decorrentes da veloz propagação do vírus em curto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de tempo.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tocante ao saneamento básico, não são menores as preocupações, despontando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várias questões: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Garantia de acesso continuado aos serviços públicos – pela própria essencialidade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– com segurança, qualidade e regularidade (art. 2º, inc. XI,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Medidas de prevenção e cuidados que devem ser tomadas com colaboradores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prestadores de serviços (como compatibilizar prestação de serviços e redução de exposição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empregados);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Instrumentos econômicos impeditivos à supressão dos serviços por falta de falta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na vigência da calamidade pública.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presente Nota Técnica dividimos o entendimento firmado pela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 (ARES-PCJ) em quatro tópicos: </w:t>
      </w:r>
    </w:p>
    <w:p>
      <w:pPr>
        <w:autoSpaceDN w:val="0"/>
        <w:autoSpaceDE w:val="0"/>
        <w:widowControl/>
        <w:spacing w:line="245" w:lineRule="auto" w:before="346" w:after="594"/>
        <w:ind w:left="1418" w:right="43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Prerrogativas do Titular;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Diretrizes Operacionais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Gestão Administrativa e Empresarial dos Serviços Públicos; </w:t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Relacionamento com a Agência Reguladora.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6.0" w:type="dxa"/>
      </w:tblPr>
      <w:tblGrid>
        <w:gridCol w:w="9026"/>
      </w:tblGrid>
      <w:tr>
        <w:trPr>
          <w:trHeight w:hRule="exact" w:val="340"/>
        </w:trPr>
        <w:tc>
          <w:tcPr>
            <w:tcW w:type="dxa" w:w="958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1.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PRERROGATIVA DO TITULAR </w:t>
            </w:r>
          </w:p>
        </w:tc>
      </w:tr>
    </w:tbl>
    <w:p>
      <w:pPr>
        <w:autoSpaceDN w:val="0"/>
        <w:autoSpaceDE w:val="0"/>
        <w:widowControl/>
        <w:spacing w:line="197" w:lineRule="auto" w:before="3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1.1. Calamidade pública: competência para decretação e abrangência de seus efeitos </w:t>
      </w:r>
    </w:p>
    <w:p>
      <w:pPr>
        <w:autoSpaceDN w:val="0"/>
        <w:autoSpaceDE w:val="0"/>
        <w:widowControl/>
        <w:spacing w:line="245" w:lineRule="auto" w:before="344" w:after="0"/>
        <w:ind w:left="1418" w:right="1080" w:firstLine="1134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bem verdade que os entes federativos, sendo entidades autônomas, possuem certa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liberdade legislativa para organizar-se e editar normas de validade local, porém, adstritas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limites da delegação feita pelo Poder Constituinte Originário, a fim de que não fique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descaracterizado o pacto federativo. A validade de tais atos praticados decorre da própria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Constituição Federal.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1134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Nesse sentido, “os Estados-membros se auto-organizam por meio do exercício de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 constituinte derivado-decorrente, consubstanciando-se na edição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Constituições Estaduais e, posteriormente, através de sua própria legislação (CF, art. 25,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), </w:t>
      </w:r>
    </w:p>
    <w:p>
      <w:pPr>
        <w:autoSpaceDN w:val="0"/>
        <w:tabs>
          <w:tab w:pos="10674" w:val="left"/>
        </w:tabs>
        <w:autoSpaceDE w:val="0"/>
        <w:widowControl/>
        <w:spacing w:line="197" w:lineRule="auto" w:before="85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382 – 19/03/2021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sempre, porém, respeitando-se os princípios constitucionais sensíveis, princípios federais </w:t>
      </w:r>
      <w:r>
        <w:rPr>
          <w:rFonts w:ascii="Calibri" w:hAnsi="Calibri" w:eastAsia="Calibri"/>
          <w:b w:val="0"/>
          <w:i w:val="0"/>
          <w:color w:val="000000"/>
          <w:sz w:val="24"/>
        </w:rPr>
        <w:t>extensíveis e princípios constitucionais estabelecidos”</w:t>
      </w:r>
      <w:r>
        <w:rPr>
          <w:rFonts w:ascii="Calibri" w:hAnsi="Calibri" w:eastAsia="Calibri"/>
          <w:b w:val="0"/>
          <w:i w:val="0"/>
          <w:color w:val="000000"/>
          <w:sz w:val="16"/>
        </w:rPr>
        <w:t>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1134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razão da dinâmica da vida e da imprevisibilidade de definir toda a gama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circunstâncias que pudessem ser enfrentadas pelo Poder Público e, mercê da sensibilidade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Legislador Constituinte, ficou impregnada no Texto a possibilidade de que, em circunstâncias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anômalas, excepcionais e que importassem grandes dificuldades, contrárias à ordem natural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coisas, pudesse ser reconhecido pelo Poder Público em determinadas situações de gravidade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perturbação, que demandassem grande comprometimento e aporte financeiro, autorizando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comportamento excepcional da própria Administração</w:t>
      </w:r>
      <w:r>
        <w:rPr>
          <w:rFonts w:ascii="Calibri" w:hAnsi="Calibri" w:eastAsia="Calibri"/>
          <w:b w:val="0"/>
          <w:i w:val="0"/>
          <w:color w:val="000000"/>
          <w:sz w:val="16"/>
        </w:rPr>
        <w:t>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1134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Pode-se dizer, assim que o estado de calamidade pública é o reconhecimento legal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uma situação excepcional e danosa dentro de determinado tempo e espaço, mas que, por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própria natureza, permite a adoção de medidas severas, coerentes e necessárias ao seu combate.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1134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calamidade pública pode ser decretada quando existirem danos provenientes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fenômenos naturais, danos à saúde e aos serviços públicos em sua totalidade. Tem que ficar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demonstrado o impacto do desastre para a coletividade, não podendo ser apenas impacto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individual, e as necessidades relacionadas com recursos humanos, materiais, institucionais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financeiros.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1134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Nesse estado, os governantes podem contratar serviços, obras ou pessoas sem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 de licitação, desde que vinculados ao combate à calamidade pública, consoante o art.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24, inc. IV, da Lei n° 8.666/93. Podem, também, receber recursos federais ou estaduais mesmo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estejam em débito com a União ou o Estado.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1134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Além de atribuir competência aos Municípios para a decretação de calamidade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pública, a Lei Federal nº 12.608/2012 regula condições de prevenção, mitigação, preparação,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resposta e recuperação voltadas à proteção e defesa civil, obviamente em condições ligadas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desastres naturais, mesmo daqueles provocados pela ação humana.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1134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Portanto, há de ser considerado que, a partir desses elementos, é possível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estabelecer que o Texto Constitucional e as normas mencionadas ofertam claro sentido, segundo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qual, por emergência ou calamidade pública, autorizativas às ações excepcionais, estão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entendidas ocorrências atípicas, mas provocadas sobre a natureza, a exemplo de calamidades, </w:t>
      </w:r>
      <w:r>
        <w:rPr>
          <w:rFonts w:ascii="Calibri" w:hAnsi="Calibri" w:eastAsia="Calibri"/>
          <w:b w:val="0"/>
          <w:i w:val="0"/>
          <w:color w:val="000000"/>
          <w:sz w:val="24"/>
        </w:rPr>
        <w:t>acidentes ou catástrofes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1134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calamidade pública pode ter abrangência maior que o território de um município,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cabendo plenamente, por sua extensão, decreto estadual ou federal. No caso de COVID-19, por </w:t>
      </w:r>
    </w:p>
    <w:p>
      <w:pPr>
        <w:autoSpaceDN w:val="0"/>
        <w:autoSpaceDE w:val="0"/>
        <w:widowControl/>
        <w:spacing w:line="216" w:lineRule="auto" w:before="57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3"/>
        </w:rPr>
        <w:t>1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MORAES, Alexandre de. </w:t>
      </w:r>
      <w:r>
        <w:rPr>
          <w:rFonts w:ascii="Calibri" w:hAnsi="Calibri" w:eastAsia="Calibri"/>
          <w:b w:val="0"/>
          <w:i/>
          <w:color w:val="000000"/>
          <w:sz w:val="20"/>
        </w:rPr>
        <w:t xml:space="preserve">Direito constitucional,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9. ed., São Paulo: Editora Atlas, 2001. p. 259. </w:t>
      </w:r>
    </w:p>
    <w:p>
      <w:pPr>
        <w:autoSpaceDN w:val="0"/>
        <w:autoSpaceDE w:val="0"/>
        <w:widowControl/>
        <w:spacing w:line="245" w:lineRule="auto" w:before="28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13"/>
        </w:rPr>
        <w:t>2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MATEUS, Wilson Roberto. </w:t>
      </w:r>
      <w:r>
        <w:rPr>
          <w:rFonts w:ascii="Calibri" w:hAnsi="Calibri" w:eastAsia="Calibri"/>
          <w:b w:val="0"/>
          <w:i/>
          <w:color w:val="000000"/>
          <w:sz w:val="20"/>
        </w:rPr>
        <w:t xml:space="preserve">A edição de decretos municipais reconhecendo emergência ou calamidade financeira (?) </w:t>
      </w:r>
      <w:r>
        <w:rPr>
          <w:rFonts w:ascii="Calibri" w:hAnsi="Calibri" w:eastAsia="Calibri"/>
          <w:b w:val="0"/>
          <w:i/>
          <w:color w:val="000000"/>
          <w:sz w:val="20"/>
        </w:rPr>
        <w:t>e a sua validade frente à sistemática do direito financeiro</w:t>
      </w:r>
      <w:r>
        <w:rPr>
          <w:rFonts w:ascii="Calibri" w:hAnsi="Calibri" w:eastAsia="Calibri"/>
          <w:b w:val="0"/>
          <w:i w:val="0"/>
          <w:color w:val="000000"/>
          <w:sz w:val="20"/>
        </w:rPr>
        <w:t>. Disponível em: &lt;</w:t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1" w:history="1">
          <w:r>
            <w:rPr>
              <w:rStyle w:val="Hyperlink"/>
            </w:rPr>
            <w:t>https://www4.tce.sp.gov.br/s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ites/tcesp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/files/downloads/estado_de_emergencia_ou_calamidade_financeira.pdf&gt;. Acesso em 20 mar 2020. </w:t>
      </w:r>
    </w:p>
    <w:p>
      <w:pPr>
        <w:autoSpaceDN w:val="0"/>
        <w:autoSpaceDE w:val="0"/>
        <w:widowControl/>
        <w:spacing w:line="245" w:lineRule="auto" w:before="2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3"/>
        </w:rPr>
        <w:t>3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MATEUS, Wilson Roberto. </w:t>
      </w:r>
      <w:r>
        <w:rPr>
          <w:rFonts w:ascii="Calibri" w:hAnsi="Calibri" w:eastAsia="Calibri"/>
          <w:b w:val="0"/>
          <w:i/>
          <w:color w:val="000000"/>
          <w:sz w:val="20"/>
        </w:rPr>
        <w:t xml:space="preserve">A edição de decretos municipais reconhecendo emergência ou calamidade financeira (?) </w:t>
      </w:r>
      <w:r>
        <w:rPr>
          <w:rFonts w:ascii="Calibri" w:hAnsi="Calibri" w:eastAsia="Calibri"/>
          <w:b w:val="0"/>
          <w:i/>
          <w:color w:val="000000"/>
          <w:sz w:val="20"/>
        </w:rPr>
        <w:t>e a sua validade frente à sistemática do direito financeiro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. Op. cit. </w:t>
      </w:r>
    </w:p>
    <w:p>
      <w:pPr>
        <w:autoSpaceDN w:val="0"/>
        <w:tabs>
          <w:tab w:pos="10674" w:val="left"/>
        </w:tabs>
        <w:autoSpaceDE w:val="0"/>
        <w:widowControl/>
        <w:spacing w:line="197" w:lineRule="auto" w:before="7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382 – 19/03/2021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extensão, teve manifestação de todas as esferas, inclusive federal, com o Decreto Legislativo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6/2020, editado no dia 20 de março do corrente ano.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1.2. Decreto de calamidade pública e competência delegada ao ente regulador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1134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Pergunta que se lança: o Decreto que reconhece a calamidade pública pode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utilizado como fundamento para reorganização temporária da prestação de serviços e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comandos de gestão das atividades públicas, tais como alteração de data de pagamento, isenção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multas e juros ou interrupção de corte desses serviços?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1134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resposta é afirmativa. O Decreto que declara a calamidade pública, bem como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atos dele emanados, reconhecem ao Chefe do Executivo a prerrogativa de estruturar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reorganizar as políticas públicas em decorrência da prerrogativa de autoadministração,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>implica a capacidade decisória quanto aos interesses locais</w:t>
      </w:r>
      <w:r>
        <w:rPr>
          <w:rFonts w:ascii="Calibri" w:hAnsi="Calibri" w:eastAsia="Calibri"/>
          <w:b w:val="0"/>
          <w:i w:val="0"/>
          <w:color w:val="000000"/>
          <w:sz w:val="16"/>
        </w:rPr>
        <w:t>4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cabível, ainda, a estruturação ou rearranjo de medidas de políticas públicas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>situações calamitosas, poderes esses que foram conferidos pelo escrutínio popular (voto)</w:t>
      </w:r>
      <w:r>
        <w:rPr>
          <w:rFonts w:ascii="Calibri" w:hAnsi="Calibri" w:eastAsia="Calibri"/>
          <w:b w:val="0"/>
          <w:i w:val="0"/>
          <w:color w:val="000000"/>
          <w:sz w:val="16"/>
        </w:rPr>
        <w:t>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1134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extensão do Decreto de calamidade e outros atos que podem ser emitidos, tais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Portarias, normas regulamentares e até mesmo detalhamento em outros Decretos,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expressam a ampla liberdade do agente político para alterar a configuração da estrutura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administrativa, gastos públicos e políticas públicas, em razão da particularidade do caso, 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leva a dizer que a excepcionalidade autoriza o rearranjo de atividades, inclusive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prestados no âmbito local.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1134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amplitude de ações pela decretação de calamidade é definida pela Constituição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Federal, cabendo ao Chefe do Executivo Municipal pautar-se apenas em assuntos de interesse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 (art. 30, da CF). Quando houver delegação dos serviços ao Estado, quer seja por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(por exemplo, água e esgoto ao prestador estadual) ou por imposição legal (por exemplo,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transporte intermunicipal em região metropolitana), haverá repasse de atribuições de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calamidade ao Estado, que fará sua gestão mediante ações mitigadoras de maior abrangência.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1134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sendo a pauta de interesses genuinamente local, as definições são revisitadas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Chefe do Executivo local, mesmo diante de norma específica sobre determinados assuntos,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é o caso de saneamento básico, tratado pela Lei Federal nº 11.445/2007. </w:t>
      </w:r>
    </w:p>
    <w:p>
      <w:pPr>
        <w:autoSpaceDN w:val="0"/>
        <w:autoSpaceDE w:val="0"/>
        <w:widowControl/>
        <w:spacing w:line="245" w:lineRule="auto" w:before="1014" w:after="0"/>
        <w:ind w:left="1418" w:right="109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13"/>
        </w:rPr>
        <w:t>4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O Município é dotado de prerrogativas de auto-organização e normatização próprias, bem como de autogoverno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 autoadministração, que lhe asseguram autonomia. Esta autonomia, conforme preleciona Hely Lopes Meirelles: “É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mais que delegação; é faculdade política, reconhecida na própria constituição da República”. Cf. MEIRELLES, Hely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Lopes. Direito municipal brasileiro. 6ª ed. at. São Paulo: Malheiros Editores, 1993. p. 81. </w:t>
      </w:r>
    </w:p>
    <w:p>
      <w:pPr>
        <w:autoSpaceDN w:val="0"/>
        <w:autoSpaceDE w:val="0"/>
        <w:widowControl/>
        <w:spacing w:line="245" w:lineRule="auto" w:before="28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13"/>
        </w:rPr>
        <w:t>5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As atribuições de governo compreendem o exercício do mandato, a condução dos negócios públicos municipais,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as relações com as demais autoridades, as funções colegislativas relativas à iniciativa, sanção, veto, promulgação 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publicação de leis, a fixação de diretrizes, o planejamento da administração local e a representação do Município.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Cf. LOPES, Shirley Alonso Rodrigues Silverio; PEGORETTI JÚNIOR, Carlos Roberto. </w:t>
      </w:r>
      <w:r>
        <w:rPr>
          <w:rFonts w:ascii="Calibri" w:hAnsi="Calibri" w:eastAsia="Calibri"/>
          <w:b w:val="0"/>
          <w:i/>
          <w:color w:val="000000"/>
          <w:sz w:val="20"/>
        </w:rPr>
        <w:t>Da autonomia municipal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197" w:lineRule="auto" w:before="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>Disponível em:</w:t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2" w:history="1">
          <w:r>
            <w:rPr>
              <w:rStyle w:val="Hyperlink"/>
            </w:rPr>
            <w:t xml:space="preserve"> https://semanaacademica.org.br/system/files/artigos/meu4oartigo.pdf.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Acesso em 20 mar 2020. </w:t>
      </w:r>
    </w:p>
    <w:p>
      <w:pPr>
        <w:autoSpaceDN w:val="0"/>
        <w:tabs>
          <w:tab w:pos="10674" w:val="left"/>
        </w:tabs>
        <w:autoSpaceDE w:val="0"/>
        <w:widowControl/>
        <w:spacing w:line="197" w:lineRule="auto" w:before="7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382 – 19/03/2021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078" w:firstLine="1134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há que se falar em afronta à norma especial diante da situação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excepcionalidade, podendo o Decreto ou atos subsequentes tratarem de organização do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(horário de atendimento do prestador), redução de mobilidade para contenção da pandemia, </w:t>
      </w:r>
      <w:r>
        <w:rPr>
          <w:rFonts w:ascii="Calibri" w:hAnsi="Calibri" w:eastAsia="Calibri"/>
          <w:b w:val="0"/>
          <w:i w:val="0"/>
          <w:color w:val="000000"/>
          <w:sz w:val="24"/>
        </w:rPr>
        <w:t>mediante sanção premial</w:t>
      </w:r>
      <w:r>
        <w:rPr>
          <w:rFonts w:ascii="Calibri" w:hAnsi="Calibri" w:eastAsia="Calibri"/>
          <w:b w:val="0"/>
          <w:i w:val="0"/>
          <w:color w:val="000000"/>
          <w:sz w:val="16"/>
        </w:rPr>
        <w:t>6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(isenção de multa e alteração da data de vencimento),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alteração do regime de cobrança de tais serviços (alteração de vencimento das contas, isenção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categorias e suspensão de reajustes), sendo que essas últimas providências serão,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posteriori, quantificadas e equacionadas pelo ente regulador.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1134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lógica das ações pensadas no caso da pandemia de COVID-19 para uma eficaz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redução dos índices de contágio passa por alteração de políticas públicas, busca de rotas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alternativas de prestação dos serviços e incentivo premial aos cidadãos para que possam cumprir </w:t>
      </w:r>
      <w:r>
        <w:rPr>
          <w:rFonts w:ascii="Calibri" w:hAnsi="Calibri" w:eastAsia="Calibri"/>
          <w:b w:val="0"/>
          <w:i w:val="0"/>
          <w:color w:val="000000"/>
          <w:sz w:val="24"/>
        </w:rPr>
        <w:t>a quarentena. Nas palavras de Sílvio de Salvo Venosa</w:t>
      </w:r>
      <w:r>
        <w:rPr>
          <w:rFonts w:ascii="Calibri" w:hAnsi="Calibri" w:eastAsia="Calibri"/>
          <w:b w:val="0"/>
          <w:i w:val="0"/>
          <w:color w:val="000000"/>
          <w:sz w:val="16"/>
        </w:rPr>
        <w:t>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</w:t>
      </w:r>
    </w:p>
    <w:p>
      <w:pPr>
        <w:autoSpaceDN w:val="0"/>
        <w:autoSpaceDE w:val="0"/>
        <w:widowControl/>
        <w:spacing w:line="245" w:lineRule="auto" w:before="346" w:after="0"/>
        <w:ind w:left="3120" w:right="164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>“Quando o ordenamento desejar estimular certos comportamentos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sociais, incentiva determinadas condutas, estas assim denominadas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sanções premiais, prevendo que determinada ação ou omissão seja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estimulada de alguma forma. Assim, é possível concluir que as sanções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punitivas são os castigos, e as positivas são as premiais. As sanções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punitivas decorrem da violação da norma, enquanto que as sanções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premiais ou compensatórias decorrem de ações positivas benéficas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para a sociedade.”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1134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Ampliando a justificativa que fundamenta a reestruturação de políticas públicas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regras de serviços públicos, mesmo que diante de políticas setoriais, está o reconhecimento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foi dado o poder ao Chefe do Executivo para administrar os interesses locais, que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pautados nas peculiaridades e necessidades ínsitas da localidade</w:t>
      </w:r>
      <w:r>
        <w:rPr>
          <w:rFonts w:ascii="Calibri" w:hAnsi="Calibri" w:eastAsia="Calibri"/>
          <w:b w:val="0"/>
          <w:i w:val="0"/>
          <w:color w:val="000000"/>
          <w:sz w:val="16"/>
        </w:rPr>
        <w:t>8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o que não foi reconhecido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constitucionalmente ao regulador setorial - é o debate do déficit democrático do regulador. </w:t>
      </w:r>
    </w:p>
    <w:p>
      <w:pPr>
        <w:autoSpaceDN w:val="0"/>
        <w:autoSpaceDE w:val="0"/>
        <w:widowControl/>
        <w:spacing w:line="245" w:lineRule="auto" w:before="326" w:after="0"/>
        <w:ind w:left="1418" w:right="1082" w:firstLine="1134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Nas palavras de Wladimir António Ribeiro</w:t>
      </w:r>
      <w:r>
        <w:rPr>
          <w:rFonts w:ascii="Calibri" w:hAnsi="Calibri" w:eastAsia="Calibri"/>
          <w:b w:val="0"/>
          <w:i w:val="0"/>
          <w:color w:val="000000"/>
          <w:sz w:val="16"/>
        </w:rPr>
        <w:t>9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“como sabido, o regulador goza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autonomia reforçada, exercendo amplos poderes, inclusive de caráter normativo, porém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 legitimidade democrática direta, porque os dirigentes do regulador não são eleitos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diretamente pela população, e muitas vezes, não estão subordinados ou não respondem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autoridades que possuem vínculo com o poder democraticamente eleito. Em uma situação dessa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espécie, entender que cabe ao regulador definir aspectos da política pública significa dizer que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conteúdo das políticas públicas não é definido pela população ou por seus representantes [...]”. </w:t>
      </w:r>
    </w:p>
    <w:p>
      <w:pPr>
        <w:autoSpaceDN w:val="0"/>
        <w:autoSpaceDE w:val="0"/>
        <w:widowControl/>
        <w:spacing w:line="245" w:lineRule="auto" w:before="1014" w:after="0"/>
        <w:ind w:left="1418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13"/>
        </w:rPr>
        <w:t>6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Nos dizeres de Miguel Reale, </w:t>
      </w:r>
      <w:r>
        <w:rPr>
          <w:rFonts w:ascii="Calibri" w:hAnsi="Calibri" w:eastAsia="Calibri"/>
          <w:b w:val="0"/>
          <w:i/>
          <w:color w:val="000000"/>
          <w:sz w:val="20"/>
        </w:rPr>
        <w:t xml:space="preserve">“Assim, ao lado das sanções penais, temos sanções premiais que oferecem </w:t>
      </w:r>
      <w:r>
        <w:rPr>
          <w:rFonts w:ascii="Calibri" w:hAnsi="Calibri" w:eastAsia="Calibri"/>
          <w:b w:val="0"/>
          <w:i/>
          <w:color w:val="000000"/>
          <w:sz w:val="20"/>
        </w:rPr>
        <w:t xml:space="preserve">benefício ao destinatário, como, por exemplo, um desconto ao contribuinte que paga o tributo antes da data do </w:t>
      </w:r>
      <w:r>
        <w:rPr>
          <w:rFonts w:ascii="Calibri" w:hAnsi="Calibri" w:eastAsia="Calibri"/>
          <w:b w:val="0"/>
          <w:i/>
          <w:color w:val="000000"/>
          <w:sz w:val="20"/>
        </w:rPr>
        <w:t xml:space="preserve">vencimento” cf. REALE, Miguel. </w:t>
      </w:r>
      <w:r>
        <w:rPr>
          <w:rFonts w:ascii="Calibri" w:hAnsi="Calibri" w:eastAsia="Calibri"/>
          <w:b w:val="0"/>
          <w:i/>
          <w:color w:val="000000"/>
          <w:sz w:val="20"/>
        </w:rPr>
        <w:t>Lições preliminares de direito</w:t>
      </w:r>
      <w:r>
        <w:rPr>
          <w:rFonts w:ascii="Calibri" w:hAnsi="Calibri" w:eastAsia="Calibri"/>
          <w:b w:val="0"/>
          <w:i w:val="0"/>
          <w:color w:val="000000"/>
          <w:sz w:val="20"/>
        </w:rPr>
        <w:t>. 9.ed., São Paulo: Saraiva, 1981. p.75.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5" w:lineRule="auto" w:before="2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3"/>
        </w:rPr>
        <w:t>7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VENOSA, Sílvio de Salvo. Sanção premial. </w:t>
      </w:r>
      <w:r>
        <w:rPr>
          <w:rFonts w:ascii="Calibri" w:hAnsi="Calibri" w:eastAsia="Calibri"/>
          <w:b w:val="0"/>
          <w:i/>
          <w:color w:val="000000"/>
          <w:sz w:val="20"/>
        </w:rPr>
        <w:t>Portal Migalhas</w:t>
      </w:r>
      <w:r>
        <w:rPr>
          <w:rFonts w:ascii="Calibri" w:hAnsi="Calibri" w:eastAsia="Calibri"/>
          <w:b w:val="0"/>
          <w:i w:val="0"/>
          <w:color w:val="000000"/>
          <w:sz w:val="20"/>
        </w:rPr>
        <w:t>. Disponível em:</w:t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3" w:history="1">
          <w:r>
            <w:rPr>
              <w:rStyle w:val="Hyperlink"/>
            </w:rPr>
            <w:t xml:space="preserve"> https://www.migalhas.com.br/depeso/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3" w:history="1">
          <w:r>
            <w:rPr>
              <w:rStyle w:val="Hyperlink"/>
            </w:rPr>
            <w:t>298207/sancao-premial.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Acesso em 21 mar 2020. </w:t>
      </w:r>
    </w:p>
    <w:p>
      <w:pPr>
        <w:autoSpaceDN w:val="0"/>
        <w:autoSpaceDE w:val="0"/>
        <w:widowControl/>
        <w:spacing w:line="214" w:lineRule="auto" w:before="2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3"/>
        </w:rPr>
        <w:t>8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LENZA, Pedro</w:t>
      </w:r>
      <w:r>
        <w:rPr>
          <w:rFonts w:ascii="Calibri" w:hAnsi="Calibri" w:eastAsia="Calibri"/>
          <w:b w:val="0"/>
          <w:i/>
          <w:color w:val="000000"/>
          <w:sz w:val="20"/>
        </w:rPr>
        <w:t>. Direito constitucional esquematizado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. 18. ed., São Paulo: Saraiva, 2018, p. 502. </w:t>
      </w:r>
    </w:p>
    <w:p>
      <w:pPr>
        <w:autoSpaceDN w:val="0"/>
        <w:autoSpaceDE w:val="0"/>
        <w:widowControl/>
        <w:spacing w:line="245" w:lineRule="auto" w:before="30" w:after="0"/>
        <w:ind w:left="1418" w:right="10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13"/>
        </w:rPr>
        <w:t>9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RIBEIRO,</w:t>
      </w:r>
      <w:r>
        <w:rPr>
          <w:rFonts w:ascii="Calibri" w:hAnsi="Calibri" w:eastAsia="Calibri"/>
          <w:b w:val="0"/>
          <w:i w:val="0"/>
          <w:color w:val="000000"/>
          <w:sz w:val="20"/>
        </w:rPr>
        <w:t>W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LADIMIR </w:t>
      </w:r>
      <w:r>
        <w:rPr>
          <w:rFonts w:ascii="Calibri" w:hAnsi="Calibri" w:eastAsia="Calibri"/>
          <w:b w:val="0"/>
          <w:i w:val="0"/>
          <w:color w:val="000000"/>
          <w:sz w:val="20"/>
        </w:rPr>
        <w:t>A</w:t>
      </w:r>
      <w:r>
        <w:rPr>
          <w:rFonts w:ascii="Calibri" w:hAnsi="Calibri" w:eastAsia="Calibri"/>
          <w:b w:val="0"/>
          <w:i w:val="0"/>
          <w:color w:val="000000"/>
          <w:sz w:val="16"/>
        </w:rPr>
        <w:t>NTÓNIO</w:t>
      </w:r>
      <w:r>
        <w:rPr>
          <w:rFonts w:ascii="Calibri" w:hAnsi="Calibri" w:eastAsia="Calibri"/>
          <w:b w:val="0"/>
          <w:i w:val="0"/>
          <w:color w:val="000000"/>
          <w:sz w:val="20"/>
        </w:rPr>
        <w:t>.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 forma e a função: as relações entre independência, regulação e competências do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regulador. In: </w:t>
      </w:r>
      <w:r>
        <w:rPr>
          <w:rFonts w:ascii="Calibri" w:hAnsi="Calibri" w:eastAsia="Calibri"/>
          <w:b w:val="0"/>
          <w:i/>
          <w:color w:val="000000"/>
          <w:sz w:val="20"/>
        </w:rPr>
        <w:t>Regulação do saneamento básico: 5 anos de experiência da ARES-PCJ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. Carlos Roberto de Oliveira, Dalto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Favero Brochi, Carlos Roberto Gravina (Org.). São Paulo: Essential Idea Editora, 2016. p. 60. </w:t>
      </w:r>
    </w:p>
    <w:p>
      <w:pPr>
        <w:autoSpaceDN w:val="0"/>
        <w:tabs>
          <w:tab w:pos="10674" w:val="left"/>
        </w:tabs>
        <w:autoSpaceDE w:val="0"/>
        <w:widowControl/>
        <w:spacing w:line="197" w:lineRule="auto" w:before="7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382 – 19/03/2021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080" w:firstLine="1134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Dessa forma, conclui-se que ao Chefe do Poder Executivo Municipal compete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declarar a calamidade pública (ou Governador ou Presidente da República, em razão da extensão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calamidade), dando diretrizes sobre a nova forma de arranjo dos serviços locais, podendo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estipular sanções premiais, definir novos padrões de atendimento à essencialidade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regime tarifário excepcional (contemplando isenções, descontos ou até mesmo suspensão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reajustes).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1134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Diante de tais comandos emanados, cabe ao ente regulador, quando existente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concessão, reequilibra-lo oportunamente, considerando o fato da Administração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(teoria das áleas)</w:t>
      </w:r>
      <w:r>
        <w:rPr>
          <w:rFonts w:ascii="Calibri" w:hAnsi="Calibri" w:eastAsia="Calibri"/>
          <w:b w:val="0"/>
          <w:i w:val="0"/>
          <w:color w:val="000000"/>
          <w:sz w:val="16"/>
        </w:rPr>
        <w:t>10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e, existindo prestação direta, avaliar impactos financeiros e reajustar 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para manutenção do equilíbrio fiscal do prestador público (quando da cessação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evento calamitoso).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1134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Tais arranjos financeiros, devidamente justificados e decorrentes de Decreto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calamidade pública, não são classificados como renúncia de receita, já que a previsão do art. 65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Lei de Responsabilidade Fiscal (Lei Complementar nº 101/2000) traz regramento fiscal </w:t>
      </w:r>
      <w:r>
        <w:rPr>
          <w:rFonts w:ascii="Calibri" w:hAnsi="Calibri" w:eastAsia="Calibri"/>
          <w:b w:val="0"/>
          <w:i w:val="0"/>
          <w:color w:val="000000"/>
          <w:sz w:val="24"/>
        </w:rPr>
        <w:t>especial. Nos dizeres de Sérgio Ciquera Rossi</w:t>
      </w:r>
      <w:r>
        <w:rPr>
          <w:rFonts w:ascii="Calibri" w:hAnsi="Calibri" w:eastAsia="Calibri"/>
          <w:b w:val="0"/>
          <w:i w:val="0"/>
          <w:color w:val="000000"/>
          <w:sz w:val="16"/>
        </w:rPr>
        <w:t>11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Secretário-Geral do Tribunal de Contas do Estado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São Paulo: “calamidade financeira não se confunde com calamidade pública, esta última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amparada no ordenamento constitucional e legal”.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1134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Mesmo diante da excepcionalidade trazida pelo citado art. 65 da LRF, o regulador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dispõe de vários mecanismos para assegurar a boa gestão financeira do prestador,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reavaliação tarifária no mesmo ano fiscal, revisão de cronograma de investimentos,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disponibilidade de caixa, dentre outros, já que tais arranjos são fundados no princípio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>orçamentário da universalidade</w:t>
      </w:r>
      <w:r>
        <w:rPr>
          <w:rFonts w:ascii="Calibri" w:hAnsi="Calibri" w:eastAsia="Calibri"/>
          <w:b w:val="0"/>
          <w:i w:val="0"/>
          <w:color w:val="000000"/>
          <w:sz w:val="16"/>
        </w:rPr>
        <w:t>12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1.3.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Conclusões parciais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1278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exposto, o entendimento sedimentado pela ARES-PCJ é que o Titular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saneamento básico dispõe de prerrogativa para avocar as competências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regulatórias delegadas, emitindo comandos gerais vinculativos ao seu ente regulador, integrante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sua Administração Indireta. </w:t>
      </w:r>
    </w:p>
    <w:p>
      <w:pPr>
        <w:autoSpaceDN w:val="0"/>
        <w:autoSpaceDE w:val="0"/>
        <w:widowControl/>
        <w:spacing w:line="197" w:lineRule="auto" w:before="54" w:after="0"/>
        <w:ind w:left="269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passos obrigatórios para a avocação de competências: </w:t>
      </w:r>
    </w:p>
    <w:p>
      <w:pPr>
        <w:autoSpaceDN w:val="0"/>
        <w:autoSpaceDE w:val="0"/>
        <w:widowControl/>
        <w:spacing w:line="245" w:lineRule="auto" w:before="380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3"/>
        </w:rPr>
        <w:t>10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Maria Sylvia Zanella Di Pietro, tratando dos reflexos de alterações dos contratos apresenta as categorias divididas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em a) álea ordinária ou empresarial; b) álea administrativa, composta da alteração unilateral, do fato do príncipe 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do fato da Administração; e c) álea econômica, correspondendo à teoria da imprevisão. Sem prejuízo da divisão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sistematizada, as consequências jurídicas da superveniência de cada hipótese (das áleas administrativa e econômica) </w:t>
      </w:r>
      <w:r>
        <w:rPr>
          <w:rFonts w:ascii="Calibri" w:hAnsi="Calibri" w:eastAsia="Calibri"/>
          <w:b w:val="0"/>
          <w:i w:val="0"/>
          <w:color w:val="000000"/>
          <w:sz w:val="20"/>
        </w:rPr>
        <w:t>seriam as mesmas: a Administração Pública responde sozinha pela recomposição do equilíbrio econômico-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financeiro, por aplicação do art. 37, XXI, da Constituição da República. Cf. DI PIETRO, Maria Sylvia Zanella. </w:t>
      </w:r>
      <w:r>
        <w:rPr>
          <w:rFonts w:ascii="Calibri" w:hAnsi="Calibri" w:eastAsia="Calibri"/>
          <w:b w:val="0"/>
          <w:i/>
          <w:color w:val="000000"/>
          <w:sz w:val="20"/>
        </w:rPr>
        <w:t xml:space="preserve">Direito </w:t>
      </w:r>
      <w:r>
        <w:rPr>
          <w:rFonts w:ascii="Calibri" w:hAnsi="Calibri" w:eastAsia="Calibri"/>
          <w:b w:val="0"/>
          <w:i/>
          <w:color w:val="000000"/>
          <w:sz w:val="20"/>
        </w:rPr>
        <w:t>administrativo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. 24 ed., São Paulo: Atlas, 2011. p. 282. </w:t>
      </w:r>
    </w:p>
    <w:p>
      <w:pPr>
        <w:autoSpaceDN w:val="0"/>
        <w:autoSpaceDE w:val="0"/>
        <w:widowControl/>
        <w:spacing w:line="245" w:lineRule="auto" w:before="28" w:after="0"/>
        <w:ind w:left="1418" w:right="10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13"/>
        </w:rPr>
        <w:t>11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ROSSI, Sérgio Ciquera. As ameaças à lei de responsabilidade fiscal. </w:t>
      </w:r>
      <w:r>
        <w:rPr>
          <w:rFonts w:ascii="Calibri" w:hAnsi="Calibri" w:eastAsia="Calibri"/>
          <w:b w:val="0"/>
          <w:i/>
          <w:color w:val="000000"/>
          <w:sz w:val="20"/>
        </w:rPr>
        <w:t>Portal Migalhas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. Disponível em: </w:t>
      </w:r>
      <w:r>
        <w:rPr>
          <w:rFonts w:ascii="Calibri" w:hAnsi="Calibri" w:eastAsia="Calibri"/>
          <w:b w:val="0"/>
          <w:i w:val="0"/>
          <w:color w:val="000000"/>
          <w:sz w:val="20"/>
        </w:rPr>
        <w:t>&lt;</w:t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4" w:history="1">
          <w:r>
            <w:rPr>
              <w:rStyle w:val="Hyperlink"/>
            </w:rPr>
            <w:t>https://www.migalhas.com.br/depeso/295022/as-ameacas-a-lei-de-responsabilidade-fiscal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&gt; Acesso em 21 mar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2020. </w:t>
      </w:r>
    </w:p>
    <w:p>
      <w:pPr>
        <w:autoSpaceDN w:val="0"/>
        <w:autoSpaceDE w:val="0"/>
        <w:widowControl/>
        <w:spacing w:line="245" w:lineRule="auto" w:before="28" w:after="0"/>
        <w:ind w:left="1418" w:right="109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13"/>
        </w:rPr>
        <w:t>12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Dispõe o Manual de Contabilidade Aplicado ao Setor Público MCASP (8. Ed.): Princípio da Universalidade é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estabelecido, de forma expressa, pelo caput do art. 2º da Lei nº 4.320/1964, recepcionado e normatizado pelo § 5º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do art. 165 da Constituição Federal, determina que a LOA de cada ente federado deverá conter todas as receitas 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despesas de todos os poderes, órgãos, entidades, fundos e fundações instituídas e mantidas pelo Poder Público. </w:t>
      </w:r>
    </w:p>
    <w:p>
      <w:pPr>
        <w:autoSpaceDN w:val="0"/>
        <w:tabs>
          <w:tab w:pos="10674" w:val="left"/>
        </w:tabs>
        <w:autoSpaceDE w:val="0"/>
        <w:widowControl/>
        <w:spacing w:line="197" w:lineRule="auto" w:before="7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382 – 19/03/2021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6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de calamidade pública municipal;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Emissão de outro Decreto Municipal, em complemento ao de calamidade, caso não haja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previsão expressa de regras sobre serviços públicos de água 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temas passíveis de regulamentação pelo Titular em seu Decreto Municipal: suspensão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 de reajuste em trâmite na ARES-PCJ, isenção de tarifas de água e esgoto a categorias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(tarifa social, por exemplo), suspensão de corte por inadimplência, prorrogação de vencimentos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contas em período de isolamento social e regras especiais para pagamento.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1278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tocante à concessão de isenções tarifárias ou de descontos aos usuários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Social, recomenda-se prioridade a proteção à parcela de usuários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considerada mais vulnerável às oscilações econômicas, conforme experiência observada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municípios regulados pela ARES-PCJ nos estudos da Nota Técnica ARES-PCJ nº 15/ 2019.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1278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No que diz respeito ao acompanhamento e monitoramento da situação econômico-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financeira da prestação dos serviços públicos de água e esgoto, ainda com vistas ao equilíbrio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econômico-financeiro, sugere-se: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1) Monitoramento constante do faturamento por categoria, com atenção especial às categorias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 e Industrial;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2) Desenvolvimento e/ou aprimoramento do relatório Histograma de Faturamento para todas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categorias, contendo: </w:t>
      </w:r>
    </w:p>
    <w:p>
      <w:pPr>
        <w:autoSpaceDN w:val="0"/>
        <w:autoSpaceDE w:val="0"/>
        <w:widowControl/>
        <w:spacing w:line="245" w:lineRule="auto" w:before="346" w:after="0"/>
        <w:ind w:left="1986" w:right="51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Divisão por faixas de consumo de 1 em 1 m³;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de Economias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de Economias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Água (medido - m³);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Esgoto (medido - m³);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Faturado Água (R$);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g)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Faturado Esgoto (R$). </w:t>
      </w:r>
    </w:p>
    <w:p>
      <w:pPr>
        <w:autoSpaceDN w:val="0"/>
        <w:autoSpaceDE w:val="0"/>
        <w:widowControl/>
        <w:spacing w:line="245" w:lineRule="auto" w:before="346" w:after="596"/>
        <w:ind w:left="1418" w:right="1082" w:firstLine="1278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comandos legais emitidos serão acatados pelo regulador, que irá promover,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oportunamente, as devidas avaliações econômico-financeiras para a manutenção da saúde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financeira do prestador público ou da concessionária.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6.0" w:type="dxa"/>
      </w:tblPr>
      <w:tblGrid>
        <w:gridCol w:w="9026"/>
      </w:tblGrid>
      <w:tr>
        <w:trPr>
          <w:trHeight w:hRule="exact" w:val="340"/>
        </w:trPr>
        <w:tc>
          <w:tcPr>
            <w:tcW w:type="dxa" w:w="958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2.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DIRETRIZES OPERACIONAIS </w:t>
            </w:r>
          </w:p>
        </w:tc>
      </w:tr>
    </w:tbl>
    <w:p>
      <w:pPr>
        <w:autoSpaceDN w:val="0"/>
        <w:autoSpaceDE w:val="0"/>
        <w:widowControl/>
        <w:spacing w:line="245" w:lineRule="auto" w:before="342" w:after="0"/>
        <w:ind w:left="1418" w:right="1084" w:firstLine="1278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âmbito técnico-operacional da prestação de serviços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alguns princípios básicos de qualidade, regularidade e segurança na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saneamento são invioláveis e devem ser mantidos inclusive (e principalmente)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períodos de crise sanitária, como o atendimento ao Padrão de Potabilidade estabelecido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XX da Portaria de Consolidação nº 5 do Ministério da Saúde, os critérios de lançamento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efluentes tratados apresentados pelo Decreto Estadual nº 8.468/1976. </w:t>
      </w:r>
    </w:p>
    <w:p>
      <w:pPr>
        <w:autoSpaceDN w:val="0"/>
        <w:tabs>
          <w:tab w:pos="10574" w:val="left"/>
        </w:tabs>
        <w:autoSpaceDE w:val="0"/>
        <w:widowControl/>
        <w:spacing w:line="197" w:lineRule="auto" w:before="27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382 – 19/03/2021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66" w:after="0"/>
        <w:ind w:left="1418" w:right="1082" w:firstLine="1278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Devem ser observados, ainda, os critérios gerais estabelecidos pela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50/2014, como os valores de pressões operacionais mínimas e máximas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informação prévia sobre interrupções programadas e não programadas.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1278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Todavia, considerando a esfera operacional dos serviços de água e esgoto,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sua interface com os aspectos financeiros em termos de receitas e despesas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relacionamento com os usuários dos serviços, os prestadores dos serviços ficam autorizados,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decisão conjunta com o titular dos serviços e mediante decretação de estado de calamidade,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reordenar práticas operacionais nos seguintes termos: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2.1. Abastecimento de água e operacional </w:t>
      </w:r>
    </w:p>
    <w:p>
      <w:pPr>
        <w:autoSpaceDN w:val="0"/>
        <w:autoSpaceDE w:val="0"/>
        <w:widowControl/>
        <w:spacing w:line="245" w:lineRule="auto" w:before="298" w:after="0"/>
        <w:ind w:left="1418" w:right="100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Postergar serviços não essenciais e que podem ocasionar desabastecimento de água, mesmo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temporários, como a lavagem de reservatórios ou outras intervenções de manutenção; </w:t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Priorizar execução de serviços que diminuam o desabastecimento de água, como o reparo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conserto de vazamentos, ligações e religações de água em locais com residentes fixos;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Priorizar reparo de vazamentos em vias públicas de esgoto sanitário, com vistas a diminuir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possíveis contaminações;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Reorganizar a aplicação de recursos programados e previstos na composição tarifária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realização de investimentos, em prol da cobertura de despesas operacionais afetadas pela crise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para medidas contra desabastecimento público;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Suspender ou minimizar as atividades comerciais ou operacionais que tenham interface direta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 usuário, como avaliação de críticas de leitura, recadastramento comercial, verificações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internas, entre outros;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Priorizar aquisição de bombas reservas ou outros meios que garantam a constante captação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bruta e distribuição de água tratada;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Estabelecer medidas emergenciais para abastecimento ininterrupto a estabelecimentos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saúde;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Planejar as variações de demanda no atual cenário e priorizar oferta plena do volume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reservação, mesmo que incorra em aumento do gasto com energia elétrica.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2.2. Faturamento e receitas tarifárias </w:t>
      </w:r>
    </w:p>
    <w:p>
      <w:pPr>
        <w:autoSpaceDN w:val="0"/>
        <w:autoSpaceDE w:val="0"/>
        <w:widowControl/>
        <w:spacing w:line="245" w:lineRule="auto" w:before="296" w:after="0"/>
        <w:ind w:left="1418" w:right="1084" w:firstLine="0"/>
        <w:jc w:val="both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Realizar faturamento de água e esgoto considerando valores médios de consumo, com vistas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reduzir o tempo de leitura e impressão de faturas em campo e exposição de colaboradores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usuários. Neste caso, o prestador deve regulamentar e dar publicidade dos critérios adotados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determinação do consumo médio (por exemplo: seis últimos meses, média de três meses do ano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anterior, entre outros).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/>
          <w:color w:val="000000"/>
          <w:sz w:val="24"/>
        </w:rPr>
        <w:t>a)</w:t>
      </w:r>
      <w:r>
        <w:rPr>
          <w:rFonts w:ascii="Calibri" w:hAnsi="Calibri" w:eastAsia="Calibri"/>
          <w:b/>
          <w:i/>
          <w:color w:val="000000"/>
          <w:sz w:val="24"/>
          <w:u w:val="single"/>
        </w:rPr>
        <w:t>Exemplo de Faturamento a Maior (com valores e volumes hipotéticos):</w:t>
      </w:r>
      <w:r>
        <w:rPr>
          <w:rFonts w:ascii="Calibri" w:hAnsi="Calibri" w:eastAsia="Calibri"/>
          <w:b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8" w:right="6048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Volume faturado médio = 14 m³ (referência)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 do volume faturado médio = R$ 40,00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Período faturado pela média = 3 meses </w:t>
      </w:r>
    </w:p>
    <w:p>
      <w:pPr>
        <w:autoSpaceDN w:val="0"/>
        <w:tabs>
          <w:tab w:pos="10574" w:val="left"/>
        </w:tabs>
        <w:autoSpaceDE w:val="0"/>
        <w:widowControl/>
        <w:spacing w:line="197" w:lineRule="auto" w:before="2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382 – 19/03/2021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152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Valor faturado = 3 x R$ 40,00 = R$ 120,00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Volume médio efetivamente consumido e aferido em leitura = 13 m³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 do volume efetivamente consumido médio = R$ 34,00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 médio que seria devido em caso de leitura no período = R$ 102,00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Diferença entre os valores faturados e efetivamente devidos = R$ 120,00 - R$ 102,00 = R$ 18,00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Diferença a ser redistribuída por período igual ao faturado pela média = R$ 18,00 / 3 = R$ 6,00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por mês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Valores das próximas faturas, pelo mesmo período em que houve cobrança pela média, já com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 devido desconto: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Mês 1: R$ 38,00 - R$ 6,00 = R$ 32,00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Mês 2: R$ 42,00 - R$ 6,00 = R$ 36,00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Mês 3: R$ 41,00 - R$ 6,00 = R$ 35,00 (NR)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/>
          <w:i/>
          <w:color w:val="000000"/>
          <w:sz w:val="24"/>
        </w:rPr>
        <w:t>b)</w:t>
      </w:r>
      <w:r>
        <w:rPr>
          <w:rFonts w:ascii="Calibri" w:hAnsi="Calibri" w:eastAsia="Calibri"/>
          <w:b/>
          <w:i/>
          <w:color w:val="000000"/>
          <w:sz w:val="24"/>
          <w:u w:val="single"/>
        </w:rPr>
        <w:t>Exemplo de Faturamento a Menor (com valores e volumes hipotéticos):</w:t>
      </w:r>
      <w:r>
        <w:rPr>
          <w:rFonts w:ascii="Calibri" w:hAnsi="Calibri" w:eastAsia="Calibri"/>
          <w:b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302"/>
        <w:ind w:left="1418" w:right="1152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Volume faturado médio = 14 m³ (referência)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 do volume faturado médio = R$ 40,00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Período faturado pela média = 3 meses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 faturado = 3 x R$ 40,00 = R$ 120,00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Volume médio efetivamente consumido e aferido em leitura = 15 m³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 do volume efetivamente consumido médio = R$ 45,00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 médio que seria devido em caso de leitura no período = R$ 135,00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Diferença entre os valores faturados e efetivamente devidos = R$ 135,00 - R$ 120,00 = R$ 15,00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Diferença a ser redistribuída por período igual ao faturado pela média = R$ 15,00 / 3 = R$ 5,00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por mês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Valores das próximas faturas, pelo mesmo período em que houve cobrança pela média, já com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 devido desconto: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Mês 1: R$ 38,00 + R$ 5,00 = R$ 43,00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Mês 2: R$ 42,00 + R$ 5,00 = R$ 47,00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Mês 3: R$ 41,00 + R$ 5,00 = R$ 46,00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6.0" w:type="dxa"/>
      </w:tblPr>
      <w:tblGrid>
        <w:gridCol w:w="9026"/>
      </w:tblGrid>
      <w:tr>
        <w:trPr>
          <w:trHeight w:hRule="exact" w:val="630"/>
        </w:trPr>
        <w:tc>
          <w:tcPr>
            <w:tcW w:type="dxa" w:w="958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3.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GESTÃO ADMINISTRATIVA E EMPRESARIAL DO SERVIÇO PÚBLICO EM SITUAÇÃO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DECLARADA DE CALAMIDADE </w:t>
            </w:r>
          </w:p>
        </w:tc>
      </w:tr>
    </w:tbl>
    <w:p>
      <w:pPr>
        <w:autoSpaceDN w:val="0"/>
        <w:autoSpaceDE w:val="0"/>
        <w:widowControl/>
        <w:spacing w:line="245" w:lineRule="auto" w:before="346" w:after="0"/>
        <w:ind w:left="1418" w:right="1084" w:firstLine="1134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concessionária ou prestador público são responsáveis pela adequada manutenção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em sua integralidade, garantindo a segurança, qualidade e regularidade, nos termos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art. 2º, inc. XI,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1134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Decreto de calamidade traz regramentos que buscam ponderar a melhor forma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dos serviços públicos essenciais, mas cabe ao prestador diligenciar para que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gestão organizacional seja adequada e possa mitigar riscos de seus colaboradores.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1134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papel da entidade reguladora avaliar os mecanismos e os métodos adotados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para que não haja interrupção dos serviços, mas também se espera de tais gestores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medidas adequadas para não expor seus funcionários a demandas e situações de risco, </w:t>
      </w:r>
    </w:p>
    <w:p>
      <w:pPr>
        <w:autoSpaceDN w:val="0"/>
        <w:tabs>
          <w:tab w:pos="10574" w:val="left"/>
        </w:tabs>
        <w:autoSpaceDE w:val="0"/>
        <w:widowControl/>
        <w:spacing w:line="197" w:lineRule="auto" w:before="19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382 – 19/03/2021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 exemplo de manutenção de atendimento presencial existindo a possibilidade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remoto.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1134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Tais ponderações são elementos da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gênese da gestão e autonomia do prestador,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fugindo do escopo regulatório e não cabendo à agência orbitar em tais planejamentos, sob pena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 xml:space="preserve">de ingerência indevida e exorbitância das competências regulatórias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entregues pela Política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Nacional de Saneamento Básico. </w:t>
      </w:r>
    </w:p>
    <w:p>
      <w:pPr>
        <w:autoSpaceDN w:val="0"/>
        <w:autoSpaceDE w:val="0"/>
        <w:widowControl/>
        <w:spacing w:line="245" w:lineRule="auto" w:before="326" w:after="0"/>
        <w:ind w:left="1418" w:right="1080" w:firstLine="1134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Como destaca Rui Cunha Marques</w:t>
      </w:r>
      <w:r>
        <w:rPr>
          <w:rFonts w:ascii="Calibri" w:hAnsi="Calibri" w:eastAsia="Calibri"/>
          <w:b w:val="0"/>
          <w:i w:val="0"/>
          <w:color w:val="000000"/>
          <w:sz w:val="16"/>
        </w:rPr>
        <w:t>13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“note-se que o regulador não pode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confundido com o gestor do contrato, que deve existir para defender os interesses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Concedente, isto é, do parceiro público. O regulador é árbitro e imparcial [...]”.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1134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Dessa forma, a melhor forma de gestão administrativa e empresarial ou de arranjo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adequada prestação dos serviços mínimos e essenciais compete ao prestador, público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privado, cabendo ao ente regulador tão somente a cobrança pela manutenção de um mínimo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essencial de atividades e de canal adequado para as comunicações e solicitações de urgência.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recomendações de boas práticas de prestação de serviços de saneamento básico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podem ser priorizadas: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3.1. Saúde e Segurança do trabalho </w:t>
      </w:r>
    </w:p>
    <w:p>
      <w:pPr>
        <w:autoSpaceDN w:val="0"/>
        <w:autoSpaceDE w:val="0"/>
        <w:widowControl/>
        <w:spacing w:line="245" w:lineRule="auto" w:before="300" w:after="0"/>
        <w:ind w:left="1418" w:right="1080" w:firstLine="0"/>
        <w:jc w:val="both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Alterar a gestão interna de pessoal, horários de funcionamento e turnos de trabalho,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enquanto atividades de responsabilidade exclusiva do prestador de serviços e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recomendações do Ministério da Saúde e a qualidade do abastecimento público.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3.2. Atendimento presencial </w:t>
      </w:r>
    </w:p>
    <w:p>
      <w:pPr>
        <w:autoSpaceDN w:val="0"/>
        <w:autoSpaceDE w:val="0"/>
        <w:widowControl/>
        <w:spacing w:line="245" w:lineRule="auto" w:before="296" w:after="0"/>
        <w:ind w:left="1418" w:right="100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Suspender atendimento presencial aos usuários dos serviços de água e esgoto,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 ostensiva nos postos de atendimento e na mídia local dos meios de comunicação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remota que o substituam, como telefone, e-mail, WhatsApp e demais redes sociais, além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realocar os colaboradores substitutos nestas novas atividades;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última necessidade, quando necessário atendimento presencial, respeitar as instruções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autoridades de saúde e prever ambiente de atendimento dotado de condições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garantam, no mínimo: </w:t>
      </w:r>
    </w:p>
    <w:p>
      <w:pPr>
        <w:autoSpaceDN w:val="0"/>
        <w:autoSpaceDE w:val="0"/>
        <w:widowControl/>
        <w:spacing w:line="245" w:lineRule="auto" w:before="348" w:after="0"/>
        <w:ind w:left="1986" w:right="1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distância de 2 metros entre cada pessoa presente à unidade (profissionais e usuários); </w:t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fila de espera ao ar livre;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horário diferenciado para pessoas dos grupos de risco. </w:t>
      </w:r>
    </w:p>
    <w:p>
      <w:pPr>
        <w:autoSpaceDN w:val="0"/>
        <w:autoSpaceDE w:val="0"/>
        <w:widowControl/>
        <w:spacing w:line="245" w:lineRule="auto" w:before="1246" w:after="0"/>
        <w:ind w:left="1418" w:right="10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14"/>
        </w:rPr>
        <w:t>13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MARQUES</w:t>
      </w:r>
      <w:r>
        <w:rPr>
          <w:rFonts w:ascii="Calibri" w:hAnsi="Calibri" w:eastAsia="Calibri"/>
          <w:b w:val="0"/>
          <w:i w:val="0"/>
          <w:color w:val="000000"/>
          <w:sz w:val="20"/>
        </w:rPr>
        <w:t>, Rui Cunha.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 participação do setor privado nos serviços de saneamento: expectativas, desafios 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questões regulatórias. In: </w:t>
      </w:r>
      <w:r>
        <w:rPr>
          <w:rFonts w:ascii="Calibri" w:hAnsi="Calibri" w:eastAsia="Calibri"/>
          <w:b w:val="0"/>
          <w:i/>
          <w:color w:val="000000"/>
          <w:sz w:val="20"/>
        </w:rPr>
        <w:t>Regulação do saneamento básico: 5 anos de experiência da ARES-PCJ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. Carlos Roberto de </w:t>
      </w:r>
      <w:r>
        <w:rPr>
          <w:rFonts w:ascii="Calibri" w:hAnsi="Calibri" w:eastAsia="Calibri"/>
          <w:b w:val="0"/>
          <w:i w:val="0"/>
          <w:color w:val="000000"/>
          <w:sz w:val="20"/>
        </w:rPr>
        <w:t>Oliveira, Dalto Favero Brochi, Carlos Roberto Gravina (Org.). São Paulo: Essential Idea Editora, 2016. p. 292.</w:t>
      </w:r>
    </w:p>
    <w:p>
      <w:pPr>
        <w:autoSpaceDN w:val="0"/>
        <w:tabs>
          <w:tab w:pos="10574" w:val="left"/>
        </w:tabs>
        <w:autoSpaceDE w:val="0"/>
        <w:widowControl/>
        <w:spacing w:line="197" w:lineRule="auto" w:before="7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382 – 19/03/2021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3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6.0" w:type="dxa"/>
      </w:tblPr>
      <w:tblGrid>
        <w:gridCol w:w="9026"/>
      </w:tblGrid>
      <w:tr>
        <w:trPr>
          <w:trHeight w:hRule="exact" w:val="340"/>
        </w:trPr>
        <w:tc>
          <w:tcPr>
            <w:tcW w:type="dxa" w:w="958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4.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RELACIONAMENTO COM A AGÊNCIA REGULADORA </w:t>
            </w:r>
          </w:p>
        </w:tc>
      </w:tr>
    </w:tbl>
    <w:p>
      <w:pPr>
        <w:autoSpaceDN w:val="0"/>
        <w:autoSpaceDE w:val="0"/>
        <w:widowControl/>
        <w:spacing w:line="245" w:lineRule="auto" w:before="340" w:after="0"/>
        <w:ind w:left="1418" w:right="1078" w:firstLine="1134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tocante ao relacionamento entre o prestador de serviços de saneamento básico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 Agência Reguladora PCJ (ARES-PCJ), entendeu-se prudente e viável a prorrogação de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solução de Não Conformidades relacionadas em Compromissos de Ajustamento de Conduta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(CACs) firmados entre prestadores de serviços e ARES-PCJ, conforme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364/2020.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1134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comunicações entre titulares e prestadores de serviços e a ARES-PCJ devem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realizadas por meio digital por tempo indeterminado, incluindo novos protocolos e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continuidade a processos em aberto. </w:t>
      </w:r>
    </w:p>
    <w:p>
      <w:pPr>
        <w:autoSpaceDN w:val="0"/>
        <w:autoSpaceDE w:val="0"/>
        <w:widowControl/>
        <w:spacing w:line="197" w:lineRule="auto" w:before="346" w:after="0"/>
        <w:ind w:left="0" w:right="3954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Americana/SP, 19 de março de 2021. </w:t>
      </w:r>
    </w:p>
    <w:p>
      <w:pPr>
        <w:autoSpaceDN w:val="0"/>
        <w:autoSpaceDE w:val="0"/>
        <w:widowControl/>
        <w:spacing w:line="245" w:lineRule="auto" w:before="930" w:after="0"/>
        <w:ind w:left="4896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ARES-PCJ</w:t>
      </w:r>
    </w:p>
    <w:p>
      <w:pPr>
        <w:autoSpaceDN w:val="0"/>
        <w:tabs>
          <w:tab w:pos="10574" w:val="left"/>
        </w:tabs>
        <w:autoSpaceDE w:val="0"/>
        <w:widowControl/>
        <w:spacing w:line="197" w:lineRule="auto" w:before="81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382 – 19/03/2021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www4.tce.sp.gov.br/" TargetMode="External"/><Relationship Id="rId12" Type="http://schemas.openxmlformats.org/officeDocument/2006/relationships/hyperlink" Target="https://semanaacademica.org.br/system/files/artigos/meu4oartigo.pdf" TargetMode="External"/><Relationship Id="rId13" Type="http://schemas.openxmlformats.org/officeDocument/2006/relationships/hyperlink" Target="https://www.migalhas.com.br/depeso/%20298207/sancao-premial" TargetMode="External"/><Relationship Id="rId14" Type="http://schemas.openxmlformats.org/officeDocument/2006/relationships/hyperlink" Target="https://www.migalhas.com.br/depeso/295022/as-ameacas-a-lei-de-responsabilidade-fisc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