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-160020</wp:posOffset>
            </wp:positionH>
            <wp:positionV relativeFrom="page">
              <wp:posOffset>9792970</wp:posOffset>
            </wp:positionV>
            <wp:extent cx="7835900" cy="99844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35900" cy="9984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2776220</wp:posOffset>
            </wp:positionH>
            <wp:positionV relativeFrom="page">
              <wp:posOffset>426720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420, DE 21 DE MARÇO DE 2022 </w:t>
      </w:r>
    </w:p>
    <w:p>
      <w:pPr>
        <w:autoSpaceDN w:val="0"/>
        <w:autoSpaceDE w:val="0"/>
        <w:widowControl/>
        <w:spacing w:line="245" w:lineRule="auto" w:before="151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Cria o inciso V do art. 16, cria o art. 81-A e seus §§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1º e 2º, altera a redação do art. 95, renumera §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cria o § 2º do art. 95, e cria os anexos VI e VII na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277, de 31/01/2019,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</w:t>
      </w:r>
      <w:r>
        <w:rPr>
          <w:rFonts w:ascii="Calibri" w:hAnsi="Calibri" w:eastAsia="Calibri"/>
          <w:b w:val="0"/>
          <w:i/>
          <w:color w:val="000000"/>
          <w:sz w:val="24"/>
        </w:rPr>
        <w:t>aprovação do Regulamento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Prestação dos Serviços 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Usuários do Município de Atibaia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 correlatas. </w:t>
      </w:r>
    </w:p>
    <w:p>
      <w:pPr>
        <w:autoSpaceDN w:val="0"/>
        <w:autoSpaceDE w:val="0"/>
        <w:widowControl/>
        <w:spacing w:line="245" w:lineRule="auto" w:before="12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define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28/02/2014, em especial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arts. 45 e 46, delimitam a forma e a obrigação do prestador de serviços de saneamento básico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editar o Regulamento de Prestação de Serviços visando a divulgação do padrão normativo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concluiu que tal alteração no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Prestador atende ao conteúdo mínimo estabelecido pela Resolução ARES-PCJ nº 50,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28/02/2014, para a eficiente prestação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18 de março de 2021;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882" w:val="left"/>
        </w:tabs>
        <w:autoSpaceDE w:val="0"/>
        <w:widowControl/>
        <w:spacing w:line="194" w:lineRule="auto" w:before="10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420 – 21/03/2022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336" w:right="1338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-160020</wp:posOffset>
            </wp:positionH>
            <wp:positionV relativeFrom="page">
              <wp:posOffset>9792970</wp:posOffset>
            </wp:positionV>
            <wp:extent cx="7835900" cy="99844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35900" cy="9984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2776220</wp:posOffset>
            </wp:positionH>
            <wp:positionV relativeFrom="page">
              <wp:posOffset>426720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Criar o inciso “V” do art. 16 da Resolução ARES-PCJ nº 277, de 31/01/2019, que dispõe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aprovação do Regulamento de Prestação dos Serviços e Atendimento aos Usuários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 de Atibaia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que 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“V – Alternativamente a instalação de caixa de inspeção de esgoto, a ligação poderá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 realizada com equipamentos Til e Cap Copo às expensas da Parceira Privada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responsável pelos serviços de esgotamento sanitário no Município, conforme seus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critérios, formas estabelecidas e padrão disponibilizado nos anexos VI e VII deste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regulamento.”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Criar o art. 81-A e seus § 1º e §2º na Resolução ARES-PCJ nº 277, de 31/01/2019,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passam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81-A - A interrupção dos serviços de coleta, afastamento e tratamento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esgoto, admitida na hipótese de não pagamento das tarifas, conforme artigo 40, V,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Lei federal nº 11.445/2007, pelo prestador de serviços ou pela empresa privada,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será realizada sem prejuízo da manutenção das condições mínimas de saúde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usuário, a partir da verificação da inexistência de moradores com moléstia grave na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unidade usuária residencial. </w:t>
      </w:r>
    </w:p>
    <w:p>
      <w:pPr>
        <w:autoSpaceDN w:val="0"/>
        <w:autoSpaceDE w:val="0"/>
        <w:widowControl/>
        <w:spacing w:line="245" w:lineRule="auto" w:before="346" w:after="0"/>
        <w:ind w:left="85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O prestador de serviços somente executará a interrupção da coleta e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afastamento do esgoto de usuário inadimplente após ter executado o corte da ligação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água, e no caso de fontes alternativas de abastecimento de água, quando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logradouro ou estabelecimento não for servido com a ligação de água da rede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pública, o prestador de serviços poderá efetuar a interrupção da coleta e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afastamento do esgoto 60 (sessenta) dias após o “Aviso de Corte”. </w:t>
      </w:r>
    </w:p>
    <w:p>
      <w:pPr>
        <w:autoSpaceDN w:val="0"/>
        <w:autoSpaceDE w:val="0"/>
        <w:widowControl/>
        <w:spacing w:line="245" w:lineRule="auto" w:before="346" w:after="0"/>
        <w:ind w:left="85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Por ocasião da interrupção dos serviços de coleta, afastamento e tratamento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esgoto, o usuário será informado de que se proceder ao despejo irregular de esgoto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gerado por fontes alternativas de abastecimento de água, sua conduta poderá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tipificada na Lei federal nº 9.605/1998 (Lei de Crimes Ambientais).” </w:t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Altera-se o caput do art. 95, renumera o § único, que passa a ser § 1º, e cria o § 2º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277, de 31/01/2019, que passam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95 - Todo novo empreendimento de edificação, condomínio ou loteamento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implantar ou a regularizar, exceto o disposto no §1º, deverá, antes de encaminhar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seu pedido a Prefeitura Municipal, solicitar à SAAE pedido de CERTIDÃO DE DIRETRIZ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fornecimento de serviços de abastecimento de água e coleta de esgotos. </w:t>
      </w:r>
    </w:p>
    <w:p>
      <w:pPr>
        <w:autoSpaceDN w:val="0"/>
        <w:tabs>
          <w:tab w:pos="8882" w:val="left"/>
        </w:tabs>
        <w:autoSpaceDE w:val="0"/>
        <w:widowControl/>
        <w:spacing w:line="194" w:lineRule="auto" w:before="7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420 – 21/03/2022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336" w:right="1338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-160020</wp:posOffset>
            </wp:positionH>
            <wp:positionV relativeFrom="page">
              <wp:posOffset>9792970</wp:posOffset>
            </wp:positionV>
            <wp:extent cx="7835900" cy="99844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35900" cy="9984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2776220</wp:posOffset>
            </wp:positionH>
            <wp:positionV relativeFrom="page">
              <wp:posOffset>426720</wp:posOffset>
            </wp:positionV>
            <wp:extent cx="251968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- As pessoas jurídicas ou os representantes dos loteadores e condomínios a serem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instalados no Município instrumentalizarão junto ao SAAE, Termo de Compromisso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Assunção de Obrigações e Termo de Compromisso de Operação Assistida, cujas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minutas serão aprovadas pela entidade reguladora, como condição para aprovação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empreendimentos.”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882" w:val="left"/>
        </w:tabs>
        <w:autoSpaceDE w:val="0"/>
        <w:widowControl/>
        <w:spacing w:line="194" w:lineRule="auto" w:before="95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420 – 21/03/2022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41"/>
          <w:pgMar w:top="336" w:right="1340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-160020</wp:posOffset>
            </wp:positionH>
            <wp:positionV relativeFrom="page">
              <wp:posOffset>9792970</wp:posOffset>
            </wp:positionV>
            <wp:extent cx="7835900" cy="99844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35900" cy="9984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1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2776220</wp:posOffset>
            </wp:positionH>
            <wp:positionV relativeFrom="page">
              <wp:posOffset>426720</wp:posOffset>
            </wp:positionV>
            <wp:extent cx="251968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8" w:after="0"/>
        <w:ind w:left="0" w:right="3788" w:firstLine="0"/>
        <w:jc w:val="righ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ANEXO VI </w:t>
      </w:r>
    </w:p>
    <w:p>
      <w:pPr>
        <w:autoSpaceDN w:val="0"/>
        <w:autoSpaceDE w:val="0"/>
        <w:widowControl/>
        <w:spacing w:line="240" w:lineRule="auto" w:before="29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1076960</wp:posOffset>
            </wp:positionH>
            <wp:positionV relativeFrom="page">
              <wp:posOffset>1694180</wp:posOffset>
            </wp:positionV>
            <wp:extent cx="5400040" cy="75590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90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2" w:val="left"/>
        </w:tabs>
        <w:autoSpaceDE w:val="0"/>
        <w:widowControl/>
        <w:spacing w:line="194" w:lineRule="auto" w:before="10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420 – 21/03/2022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41"/>
          <w:pgMar w:top="336" w:right="1440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-160020</wp:posOffset>
            </wp:positionH>
            <wp:positionV relativeFrom="page">
              <wp:posOffset>9792970</wp:posOffset>
            </wp:positionV>
            <wp:extent cx="7835900" cy="99844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35900" cy="9984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1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2776220</wp:posOffset>
            </wp:positionH>
            <wp:positionV relativeFrom="page">
              <wp:posOffset>426720</wp:posOffset>
            </wp:positionV>
            <wp:extent cx="2519680" cy="53974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8" w:after="0"/>
        <w:ind w:left="0" w:right="3746" w:firstLine="0"/>
        <w:jc w:val="righ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ANEXO VII </w:t>
      </w:r>
    </w:p>
    <w:p>
      <w:pPr>
        <w:autoSpaceDN w:val="0"/>
        <w:autoSpaceDE w:val="0"/>
        <w:widowControl/>
        <w:spacing w:line="240" w:lineRule="auto" w:before="29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1080770</wp:posOffset>
            </wp:positionH>
            <wp:positionV relativeFrom="page">
              <wp:posOffset>1694180</wp:posOffset>
            </wp:positionV>
            <wp:extent cx="5398770" cy="755904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75590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2" w:val="left"/>
        </w:tabs>
        <w:autoSpaceDE w:val="0"/>
        <w:widowControl/>
        <w:spacing w:line="194" w:lineRule="auto" w:before="10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420 – 21/03/2022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6" w:h="16841"/>
      <w:pgMar w:top="336" w:right="1440" w:bottom="50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