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432, DE 25 DE MAIO DE 2022 </w:t>
      </w:r>
    </w:p>
    <w:p>
      <w:pPr>
        <w:autoSpaceDN w:val="0"/>
        <w:autoSpaceDE w:val="0"/>
        <w:widowControl/>
        <w:spacing w:line="245" w:lineRule="auto" w:before="642" w:after="0"/>
        <w:ind w:left="4254" w:right="2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Estabelece critérios regulatórios de avaliação da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antecipação de investimentos em redes de água 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esgoto por empreendedores imobiliários, a serem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observados nos municípios vinculados à regulação 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fiscalização da ARES-PCJ que possuem prestação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privada dos serviços de saneamento e dá outras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providências. </w:t>
      </w:r>
    </w:p>
    <w:p>
      <w:pPr>
        <w:autoSpaceDN w:val="0"/>
        <w:autoSpaceDE w:val="0"/>
        <w:widowControl/>
        <w:spacing w:line="245" w:lineRule="auto" w:before="63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–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11.445, de 05 de janeiro de 2007, estabelece diretrizes nacionais para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básico, e o Decreto federal nº 7.217/2010, que a regulamenta.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11.445/2007, nos termos do artigo 23, incisos I, IV e X, confere à entidade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competência para editar normas regulatórias de natureza técnica, econômica e social,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incluindo padrões de qualidade na prestação dos serviços e no atendimento ao público.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Protocolo de Intenções da Agência Reguladora PCJ (ARES-PCJ), convertido em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Consórcio Público, nos termos da Cláusula 13ª, Parágrafo Único, incisos I, III e IV, dispõe sobre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gestão associada e transferência de exercício das competências municipais de regulação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fiscalização, fixação, reajuste e revisão das tarifas, taxas ou preços públicos relativos à prestação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públicos de saneamento básico à Agência Reguladora PCJ. </w:t>
      </w:r>
    </w:p>
    <w:p>
      <w:pPr>
        <w:autoSpaceDN w:val="0"/>
        <w:autoSpaceDE w:val="0"/>
        <w:widowControl/>
        <w:spacing w:line="245" w:lineRule="auto" w:before="348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Parágrafo único do Art. 18-A da Lei federal nº 11.445/2007, por atualização advinda da Lei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14.026/2020, estabelece que as agências reguladoras instituirão regras para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empreendedores imobiliários façam investimentos em redes de água e esgoto, identificando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situações nas quais os investimentos representam antecipação de atendimento obrigatório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operador local, fazendo jus ao ressarcimento futuro por parte da concessionária.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 concluiu ser necessário estabelecer metodologia padronizada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definição objetiva do investimento executado por empreendedor imobiliário em redes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esgoto e assumido pelo prestador de serviços.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90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432 – 25/05/2022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8" w:h="16836"/>
          <w:pgMar w:top="284" w:right="1062" w:bottom="54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36" w:after="0"/>
        <w:ind w:left="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da realização de Consulta Pública entre os meses de 15 de março e 02 de maio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2022, sobre o tema, a Diretoria Executiva da ARES-PCJ, reunida em 24 de maio de 2022</w:t>
      </w:r>
      <w:r>
        <w:rPr>
          <w:rFonts w:ascii="Calibri" w:hAnsi="Calibri" w:eastAsia="Calibri"/>
          <w:b w:val="0"/>
          <w:i w:val="0"/>
          <w:color w:val="000000"/>
          <w:sz w:val="24"/>
          <w:highlight w:val="yellow"/>
        </w:rPr>
        <w:t>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640" w:after="0"/>
        <w:ind w:left="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28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Editar normativa sobre critérios regulatórios de avaliação da antecipação de investimentos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redes de água e esgoto por empreendedores imobiliários, a serem observados pelas entidades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privadas prestadoras de serviços públicos de água e de esgotamento sanitário nos municípios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vinculados à regulação e fiscalização da ARES-PCJ, nos seguintes termos: </w:t>
      </w:r>
    </w:p>
    <w:p>
      <w:pPr>
        <w:autoSpaceDN w:val="0"/>
        <w:autoSpaceDE w:val="0"/>
        <w:widowControl/>
        <w:spacing w:line="245" w:lineRule="auto" w:before="638" w:after="0"/>
        <w:ind w:left="4032" w:right="403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OBJETO </w:t>
      </w:r>
    </w:p>
    <w:p>
      <w:pPr>
        <w:autoSpaceDN w:val="0"/>
        <w:autoSpaceDE w:val="0"/>
        <w:widowControl/>
        <w:spacing w:line="245" w:lineRule="auto" w:before="344" w:after="0"/>
        <w:ind w:left="28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1º. Esta Resolução estabelece critérios regulatórios de avaliação da antecipação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investimentos em redes de água e esgoto por empreendedores imobiliários, a serem observados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pelas entidades privadas prestadoras de serviços públicos de água e de esgotamento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municípios vinculados à regulação e fiscalização. </w:t>
      </w:r>
    </w:p>
    <w:p>
      <w:pPr>
        <w:autoSpaceDN w:val="0"/>
        <w:autoSpaceDE w:val="0"/>
        <w:widowControl/>
        <w:spacing w:line="245" w:lineRule="auto" w:before="344" w:after="0"/>
        <w:ind w:left="28" w:right="3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As condições, critérios e metodologias previstas nesta Resolução não se aplicam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aos prestadores dos serviços públicos de abastecimento de água e de esgotamento sanitário, sob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administração direta, indireta (autárquica) ou de economia mista. </w:t>
      </w:r>
    </w:p>
    <w:p>
      <w:pPr>
        <w:autoSpaceDN w:val="0"/>
        <w:autoSpaceDE w:val="0"/>
        <w:widowControl/>
        <w:spacing w:line="245" w:lineRule="auto" w:before="640" w:after="0"/>
        <w:ind w:left="3744" w:right="374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DEFINIÇÕES </w:t>
      </w:r>
    </w:p>
    <w:p>
      <w:pPr>
        <w:autoSpaceDN w:val="0"/>
        <w:autoSpaceDE w:val="0"/>
        <w:widowControl/>
        <w:spacing w:line="197" w:lineRule="auto" w:before="344" w:after="0"/>
        <w:ind w:left="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Para os fins desta Resolução são adotadas as seguintes definições: </w:t>
      </w:r>
    </w:p>
    <w:p>
      <w:pPr>
        <w:autoSpaceDN w:val="0"/>
        <w:autoSpaceDE w:val="0"/>
        <w:widowControl/>
        <w:spacing w:line="245" w:lineRule="auto" w:before="348" w:after="0"/>
        <w:ind w:left="28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ATENDIMENTO: critério objetivo de atendimento ou cobertura das infraestruturas de redes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e/ou esgoto, estabelecido em contratos de concessão comum (Lei federal nº 8.987/1995)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parcerias público-privadas (Lei federal nº 11.079/2004), enquanto meta de desempenho. </w:t>
      </w:r>
    </w:p>
    <w:p>
      <w:pPr>
        <w:autoSpaceDN w:val="0"/>
        <w:autoSpaceDE w:val="0"/>
        <w:widowControl/>
        <w:spacing w:line="245" w:lineRule="auto" w:before="348" w:after="0"/>
        <w:ind w:left="28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CONTRATO ESPECIAL: instrumento estabelecido pela Resolução ARES-PCJ nº 50/2014,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 o prestador de serviços e o usuário ajustam as características técnicas e as condições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comerciais dos serviços de abastecimento de água e ou esgotamento sanitário, observado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conteúdo mínimo previsto no Anexo II da presente Resolução. </w:t>
      </w:r>
    </w:p>
    <w:p>
      <w:pPr>
        <w:autoSpaceDN w:val="0"/>
        <w:autoSpaceDE w:val="0"/>
        <w:widowControl/>
        <w:spacing w:line="245" w:lineRule="auto" w:before="346" w:after="0"/>
        <w:ind w:left="28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INVESTIMENTO PASSÍVEL DE RESSARCIMENTO: execução de obra de redes de água e/ou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de forma onerosa e de interesse não restrito ao empreendedor imobiliário, em termos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despesa de capital em ativos reversíveis no contrato de concessão comum (Lei federal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8.987/1995) ou parceria público-privada (Lei federal nº 11.079/2004) e que represente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antecipação de metas de atendimento contratadas. </w:t>
      </w:r>
    </w:p>
    <w:p>
      <w:pPr>
        <w:autoSpaceDN w:val="0"/>
        <w:tabs>
          <w:tab w:pos="9104" w:val="left"/>
        </w:tabs>
        <w:autoSpaceDE w:val="0"/>
        <w:widowControl/>
        <w:spacing w:line="197" w:lineRule="auto" w:before="662" w:after="0"/>
        <w:ind w:left="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432 – 25/05/2022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8" w:h="16836"/>
          <w:pgMar w:top="282" w:right="1062" w:bottom="544" w:left="13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3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REDES DE INTERESSE NÃO RESTRITO: redes projetadas para atender outras economias além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daquelas economias localizadas em determinado empreendimento imobiliário.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RESSARCIMENTO: ato de devolução, acordado em Contrato Especial entre empreendedor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imobiliário e prestador privado, de montante investido em redes de água e esgoto que sejam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redes de interesse não restrito e que representem antecipação de metas de atendimento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>constantes em contratos de concessão comum (Lei federal nº 8.987/1995) ou parcerias público-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privadas (Lei federal nº 11.079/2004). </w:t>
      </w:r>
    </w:p>
    <w:p>
      <w:pPr>
        <w:autoSpaceDN w:val="0"/>
        <w:autoSpaceDE w:val="0"/>
        <w:widowControl/>
        <w:spacing w:line="245" w:lineRule="auto" w:before="640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CONDIÇÕES GERAIS </w:t>
      </w:r>
    </w:p>
    <w:p>
      <w:pPr>
        <w:autoSpaceDN w:val="0"/>
        <w:autoSpaceDE w:val="0"/>
        <w:widowControl/>
        <w:spacing w:line="245" w:lineRule="auto" w:before="346" w:after="0"/>
        <w:ind w:left="3024" w:right="302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Aplicabilidade da Resolução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3º. A presente Resolução tem aplicação obrigatória para todos os prestadores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água e esgoto delegados mediante contratos de concessão comum (Lei federal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8.987/1995) ou parcerias público-privadas (Lei federal nº 11.079/2004), nos municípios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vinculados à regulação e fiscalização desses serviços pela ARES-PCJ, tendo os seguintes objetivos: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Identificar objetivamente quando o investimento representa antecipação de investimento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assumido pelo prestador de serviços, fazendo jus ao ressarcimento, ou não;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Estabelecer os mecanismos de comunicação de direitos aos interessados e de formalização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processo de ressarcimento. </w:t>
      </w:r>
    </w:p>
    <w:p>
      <w:pPr>
        <w:autoSpaceDN w:val="0"/>
        <w:autoSpaceDE w:val="0"/>
        <w:widowControl/>
        <w:spacing w:line="245" w:lineRule="auto" w:before="348" w:after="0"/>
        <w:ind w:left="2592" w:right="273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Critérios Regulatórios de Avaliação </w:t>
      </w:r>
    </w:p>
    <w:p>
      <w:pPr>
        <w:autoSpaceDN w:val="0"/>
        <w:autoSpaceDE w:val="0"/>
        <w:widowControl/>
        <w:spacing w:line="245" w:lineRule="auto" w:before="348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4º. A execução de redes de água e esgoto de interesse restrito ao empreendimento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imobiliário, como redes de distribuição ou coleta internas ou redes externas de caráter exclusivo,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seja, projetadas exclusivamente para viabilizar o empreendimento, não são classificados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passíveis de ressarcimento, não sendo passíveis de ressarcimento, ainda, por força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disposto no art. 18-A, § único, da Lei federal nº 11.445/2007, outros ativos e estruturas relativos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aos serviços de abastecimento de água e/ou esgotamento sanitário implantados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empreendedor imobiliário. </w:t>
      </w:r>
    </w:p>
    <w:p>
      <w:pPr>
        <w:autoSpaceDN w:val="0"/>
        <w:autoSpaceDE w:val="0"/>
        <w:widowControl/>
        <w:spacing w:line="245" w:lineRule="auto" w:before="346" w:after="0"/>
        <w:ind w:left="0" w:right="3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5º. No caso de execução de redes de água e esgoto de interesse compartilhado entre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empreendedor imobiliário e demais usuários não localizados no empreendimento, o fluxo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ressarcimento dos investimentos ocorrerá conforme Anexo I da presente Resolução, ficando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certo de que não serão objeto de ressarcimento pelo prestador ao empreendedor imobiliário: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as redes de distribuição de água e/ou de coleta de esgoto que beneficiem outros usuários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localizados no empreendimento imobiliário, mas que sejam implantados exclusivamente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viabilizar o referido empreendimento imobiliário;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37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432 – 25/05/2022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8" w:h="16836"/>
          <w:pgMar w:top="284" w:right="1062" w:bottom="54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28" w:after="0"/>
        <w:ind w:left="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as redes de distribuição de água e/ou de coleta de esgoto que não estejam previstas no plano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investimentos do prestador dos serviços; </w:t>
      </w:r>
    </w:p>
    <w:p>
      <w:pPr>
        <w:autoSpaceDN w:val="0"/>
        <w:autoSpaceDE w:val="0"/>
        <w:widowControl/>
        <w:spacing w:line="245" w:lineRule="auto" w:before="344" w:after="0"/>
        <w:ind w:left="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outros ativos e estruturas de abastecimento de água e/ou esgotamento sanitário implantados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empreendedor imobiliário que não sejam redes. </w:t>
      </w:r>
    </w:p>
    <w:p>
      <w:pPr>
        <w:autoSpaceDN w:val="0"/>
        <w:autoSpaceDE w:val="0"/>
        <w:widowControl/>
        <w:spacing w:line="245" w:lineRule="auto" w:before="348" w:after="0"/>
        <w:ind w:left="1872" w:right="187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Formalização dos Investimentos e seu Ressarcimento </w:t>
      </w:r>
    </w:p>
    <w:p>
      <w:pPr>
        <w:autoSpaceDN w:val="0"/>
        <w:autoSpaceDE w:val="0"/>
        <w:widowControl/>
        <w:spacing w:line="245" w:lineRule="auto" w:before="348" w:after="0"/>
        <w:ind w:left="28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6º. Todo investimento em redes de água e esgoto classificado como passível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ressarcimento deverá figurar em Contrato Especial a ser firmado entre as partes, nos termos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58 da Resolução ARES-PCJ nº 50/2014 e atendimento do conteúdo mínimo previsto no Anexo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desta Resolução, contendo descritivo do investimento, valor orçado pelo empreendedor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imobiliário, impacto projetado nas condições de atendimento constantes em contratos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concessão comum (Lei federal nº 8.987/1995) ou parcerias público-privadas (Lei federal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11.079/2004) e condições de ressarcimento. </w:t>
      </w:r>
    </w:p>
    <w:p>
      <w:pPr>
        <w:autoSpaceDN w:val="0"/>
        <w:autoSpaceDE w:val="0"/>
        <w:widowControl/>
        <w:spacing w:line="245" w:lineRule="auto" w:before="348" w:after="0"/>
        <w:ind w:left="28" w:right="3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7º. Cabe ao prestador privado dar ciência do conteúdo da presente Resolução, a partir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 data de vigência, aos empreendedores imobiliários na ocasião da emissão de diretrizes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novos empreendimentos em sua área de concessão. </w:t>
      </w:r>
    </w:p>
    <w:p>
      <w:pPr>
        <w:autoSpaceDN w:val="0"/>
        <w:autoSpaceDE w:val="0"/>
        <w:widowControl/>
        <w:spacing w:line="245" w:lineRule="auto" w:before="348" w:after="0"/>
        <w:ind w:left="28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8º. Cabe ao prestador privado informar à ARES-PCJ e ao Poder Concedente, na ocasião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apresentação de seus relatórios semestrais nos termos da Resolução ARES-PCJ nº 303/2019,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realização de novos contratos especiais para realização de investimentos. </w:t>
      </w:r>
    </w:p>
    <w:p>
      <w:pPr>
        <w:autoSpaceDN w:val="0"/>
        <w:autoSpaceDE w:val="0"/>
        <w:widowControl/>
        <w:spacing w:line="245" w:lineRule="auto" w:before="640" w:after="0"/>
        <w:ind w:left="3456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DISPOSIÇÕES FINAIS </w:t>
      </w:r>
    </w:p>
    <w:p>
      <w:pPr>
        <w:autoSpaceDN w:val="0"/>
        <w:autoSpaceDE w:val="0"/>
        <w:widowControl/>
        <w:spacing w:line="245" w:lineRule="auto" w:before="348" w:after="0"/>
        <w:ind w:left="28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9º. A presente Resolução aplica-se aos processos de viabilização de empreendimentos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imobiliários iniciados a partir de 15 de julho de 2020, data de início de vigência da Lei federal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14.026/2020. </w:t>
      </w:r>
    </w:p>
    <w:p>
      <w:pPr>
        <w:autoSpaceDN w:val="0"/>
        <w:autoSpaceDE w:val="0"/>
        <w:widowControl/>
        <w:spacing w:line="197" w:lineRule="auto" w:before="344" w:after="0"/>
        <w:ind w:left="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10.  Esta Resolução entrará em vigor na data da sua publicação. </w:t>
      </w:r>
    </w:p>
    <w:p>
      <w:pPr>
        <w:autoSpaceDN w:val="0"/>
        <w:autoSpaceDE w:val="0"/>
        <w:widowControl/>
        <w:spacing w:line="245" w:lineRule="auto" w:before="1228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9104" w:val="left"/>
        </w:tabs>
        <w:autoSpaceDE w:val="0"/>
        <w:widowControl/>
        <w:spacing w:line="197" w:lineRule="auto" w:before="1836" w:after="0"/>
        <w:ind w:left="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432 – 25/05/2022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8" w:h="16836"/>
          <w:pgMar w:top="282" w:right="1064" w:bottom="544" w:left="13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3492500</wp:posOffset>
            </wp:positionH>
            <wp:positionV relativeFrom="page">
              <wp:posOffset>2814320</wp:posOffset>
            </wp:positionV>
            <wp:extent cx="1038860" cy="498836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38860" cy="4988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1452880</wp:posOffset>
            </wp:positionH>
            <wp:positionV relativeFrom="page">
              <wp:posOffset>4300220</wp:posOffset>
            </wp:positionV>
            <wp:extent cx="1041400" cy="504643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41400" cy="50464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5316220</wp:posOffset>
            </wp:positionH>
            <wp:positionV relativeFrom="page">
              <wp:posOffset>6210300</wp:posOffset>
            </wp:positionV>
            <wp:extent cx="1320800" cy="568678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20800" cy="56867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1292860</wp:posOffset>
            </wp:positionH>
            <wp:positionV relativeFrom="page">
              <wp:posOffset>6169660</wp:posOffset>
            </wp:positionV>
            <wp:extent cx="1315720" cy="60514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15720" cy="6051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4978400</wp:posOffset>
            </wp:positionH>
            <wp:positionV relativeFrom="page">
              <wp:posOffset>2783840</wp:posOffset>
            </wp:positionV>
            <wp:extent cx="604520" cy="189902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4520" cy="18990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2712720</wp:posOffset>
            </wp:positionH>
            <wp:positionV relativeFrom="page">
              <wp:posOffset>2783840</wp:posOffset>
            </wp:positionV>
            <wp:extent cx="604519" cy="189901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4519" cy="18990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3050540</wp:posOffset>
            </wp:positionH>
            <wp:positionV relativeFrom="page">
              <wp:posOffset>4335780</wp:posOffset>
            </wp:positionV>
            <wp:extent cx="1292860" cy="187969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92860" cy="18796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1927860</wp:posOffset>
            </wp:positionH>
            <wp:positionV relativeFrom="page">
              <wp:posOffset>5123180</wp:posOffset>
            </wp:positionV>
            <wp:extent cx="604519" cy="183188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4519" cy="18318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901700</wp:posOffset>
            </wp:positionH>
            <wp:positionV relativeFrom="page">
              <wp:posOffset>2540000</wp:posOffset>
            </wp:positionV>
            <wp:extent cx="5791200" cy="43434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4343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7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7" w:lineRule="auto" w:before="342" w:after="306"/>
        <w:ind w:left="1584" w:right="144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432, DE 25 DE MAIO DE 2022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CRITÉRIO DE AVALIAÇÃO DAS CONDIÇÕES DE RESSARCIMENTO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9608"/>
      </w:tblGrid>
      <w:tr>
        <w:trPr>
          <w:trHeight w:hRule="exact" w:val="7844"/>
        </w:trPr>
        <w:tc>
          <w:tcPr>
            <w:tcW w:type="dxa" w:w="958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52.0" w:type="dxa"/>
            </w:tblPr>
            <w:tblGrid>
              <w:gridCol w:w="3193"/>
              <w:gridCol w:w="3193"/>
              <w:gridCol w:w="3193"/>
            </w:tblGrid>
            <w:tr>
              <w:trPr>
                <w:trHeight w:hRule="exact" w:val="362"/>
              </w:trPr>
              <w:tc>
                <w:tcPr>
                  <w:tcW w:type="dxa" w:w="2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42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Não </w:t>
                  </w:r>
                </w:p>
              </w:tc>
              <w:tc>
                <w:tcPr>
                  <w:tcW w:type="dxa" w:w="2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FFFFFF"/>
                      <w:sz w:val="20"/>
                    </w:rPr>
                    <w:t xml:space="preserve">O investimento é </w:t>
                  </w:r>
                </w:p>
              </w:tc>
              <w:tc>
                <w:tcPr>
                  <w:tcW w:type="dxa" w:w="20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4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8"/>
                    </w:rPr>
                    <w:t xml:space="preserve">Sim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5" w:lineRule="auto" w:before="22" w:after="0"/>
              <w:ind w:left="4464" w:right="3888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FFFFFF"/>
                <w:sz w:val="20"/>
              </w:rPr>
              <w:t xml:space="preserve">de interesse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FFFFFF"/>
                <w:sz w:val="20"/>
              </w:rPr>
              <w:t xml:space="preserve">restrito? </w:t>
            </w:r>
          </w:p>
          <w:p>
            <w:pPr>
              <w:autoSpaceDN w:val="0"/>
              <w:tabs>
                <w:tab w:pos="1134" w:val="left"/>
                <w:tab w:pos="1166" w:val="left"/>
                <w:tab w:pos="3642" w:val="left"/>
              </w:tabs>
              <w:autoSpaceDE w:val="0"/>
              <w:widowControl/>
              <w:spacing w:line="245" w:lineRule="auto" w:before="1654" w:after="0"/>
              <w:ind w:left="1074" w:right="460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FFFFFF"/>
                <w:sz w:val="20"/>
              </w:rPr>
              <w:t xml:space="preserve">Diferença entre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Nula ou Negativa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FFFFFF"/>
                <w:sz w:val="20"/>
              </w:rPr>
              <w:t xml:space="preserve">projeções com 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FFFFFF"/>
                <w:sz w:val="20"/>
              </w:rPr>
              <w:t xml:space="preserve">sem investimento </w:t>
            </w:r>
          </w:p>
          <w:p>
            <w:pPr>
              <w:autoSpaceDN w:val="0"/>
              <w:autoSpaceDE w:val="0"/>
              <w:widowControl/>
              <w:spacing w:line="197" w:lineRule="auto" w:before="574" w:after="1562"/>
              <w:ind w:left="18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Positiva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31.9999999999999" w:type="dxa"/>
            </w:tblPr>
            <w:tblGrid>
              <w:gridCol w:w="4790"/>
              <w:gridCol w:w="4790"/>
            </w:tblGrid>
            <w:tr>
              <w:trPr>
                <w:trHeight w:hRule="exact" w:val="788"/>
              </w:trPr>
              <w:tc>
                <w:tcPr>
                  <w:tcW w:type="dxa" w:w="4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44" w:after="0"/>
                    <w:ind w:left="432" w:right="216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FFFFFF"/>
                      <w:sz w:val="20"/>
                    </w:rPr>
                    <w:t xml:space="preserve">Empreendedor faz jus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FFFFFF"/>
                      <w:sz w:val="20"/>
                    </w:rPr>
                    <w:t xml:space="preserve">ao ressarcimento </w:t>
                  </w:r>
                </w:p>
              </w:tc>
              <w:tc>
                <w:tcPr>
                  <w:tcW w:type="dxa" w:w="42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60" w:after="0"/>
                    <w:ind w:left="2304" w:right="288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FFFFFF"/>
                      <w:sz w:val="20"/>
                    </w:rPr>
                    <w:t xml:space="preserve">Empreendedor não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FFFFFF"/>
                      <w:sz w:val="20"/>
                    </w:rPr>
                    <w:t xml:space="preserve">faz jus ao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FFFFFF"/>
                      <w:sz w:val="20"/>
                    </w:rPr>
                    <w:t xml:space="preserve">ressarcimento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tabs>
          <w:tab w:pos="9192" w:val="left"/>
        </w:tabs>
        <w:autoSpaceDE w:val="0"/>
        <w:widowControl/>
        <w:spacing w:line="197" w:lineRule="auto" w:before="4180" w:after="0"/>
        <w:ind w:left="1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432 – 25/05/2022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8" w:h="16836"/>
          <w:pgMar w:top="282" w:right="1000" w:bottom="544" w:left="13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9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432, DE 25 DE MAIO DE 2022 </w:t>
      </w:r>
    </w:p>
    <w:p>
      <w:pPr>
        <w:autoSpaceDN w:val="0"/>
        <w:autoSpaceDE w:val="0"/>
        <w:widowControl/>
        <w:spacing w:line="197" w:lineRule="auto" w:before="35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214" w:lineRule="auto" w:before="324" w:after="30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 CONTEÚDO MÍNIMO OBRIGATÓRIO DOS CONTRATOS ESPECIAIS</w:t>
      </w:r>
      <w:r>
        <w:rPr>
          <w:rFonts w:ascii="Calibri" w:hAnsi="Calibri" w:eastAsia="Calibri"/>
          <w:b/>
          <w:i w:val="0"/>
          <w:color w:val="000000"/>
          <w:sz w:val="16"/>
        </w:rPr>
        <w:t>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9414"/>
      </w:tblGrid>
      <w:tr>
        <w:trPr>
          <w:trHeight w:hRule="exact" w:val="1476"/>
        </w:trPr>
        <w:tc>
          <w:tcPr>
            <w:tcW w:type="dxa" w:w="9076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d9e1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OS CONTRATOS ESPECIAIS, CONFORME DEFINIÇÃO EXPOSTA NO ART. 2º, INCISO II, DA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RESOLUÇÃO ARES-PCJ Nº 432/2022, DEVERÃO PREVER, NO MÍNIMO, O SEGUINTE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ESCOPO: </w:t>
            </w:r>
          </w:p>
        </w:tc>
      </w:tr>
      <w:tr>
        <w:trPr>
          <w:trHeight w:hRule="exact" w:val="1662"/>
        </w:trPr>
        <w:tc>
          <w:tcPr>
            <w:tcW w:type="dxa" w:w="9076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6" w:after="0"/>
              <w:ind w:left="132" w:right="52" w:hanging="24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1.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Cláusula que estipule o momento do ressarcimento, a ser definido conforme livre acordo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entre empreendedor e concessionária, devendo referido momento acontecer nos limites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 prazo de vigência do contrato de concessão comum (Lei federal nº 8.987/1995) ou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parceria público-privada (Lei federal nº 11.079/2004). </w:t>
            </w:r>
          </w:p>
        </w:tc>
      </w:tr>
      <w:tr>
        <w:trPr>
          <w:trHeight w:hRule="exact" w:val="1076"/>
        </w:trPr>
        <w:tc>
          <w:tcPr>
            <w:tcW w:type="dxa" w:w="907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2" w:val="left"/>
              </w:tabs>
              <w:autoSpaceDE w:val="0"/>
              <w:widowControl/>
              <w:spacing w:line="245" w:lineRule="auto" w:before="292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2.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Metodologia e forma de ressarcimento, de livre avença entre empreendedor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concessionária. </w:t>
            </w:r>
          </w:p>
        </w:tc>
      </w:tr>
      <w:tr>
        <w:trPr>
          <w:trHeight w:hRule="exact" w:val="1664"/>
        </w:trPr>
        <w:tc>
          <w:tcPr>
            <w:tcW w:type="dxa" w:w="907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92" w:after="0"/>
              <w:ind w:left="132" w:right="50" w:hanging="24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3.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Descritivo do investimento, valor orçado pelo empreendedor imobiliário, bem como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impacto projetado nas condições de atendimento constantes no contrato de concessão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comum (Lei federal nº 8.987/1995) ou parceria público-privada (Lei federal nº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11.079/2004). </w:t>
            </w:r>
          </w:p>
        </w:tc>
      </w:tr>
      <w:tr>
        <w:trPr>
          <w:trHeight w:hRule="exact" w:val="780"/>
        </w:trPr>
        <w:tc>
          <w:tcPr>
            <w:tcW w:type="dxa" w:w="907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8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4.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Prazo e forma de execução das obras relacionadas a rede. </w:t>
            </w:r>
          </w:p>
        </w:tc>
      </w:tr>
      <w:tr>
        <w:trPr>
          <w:trHeight w:hRule="exact" w:val="1076"/>
        </w:trPr>
        <w:tc>
          <w:tcPr>
            <w:tcW w:type="dxa" w:w="907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2" w:val="left"/>
              </w:tabs>
              <w:autoSpaceDE w:val="0"/>
              <w:widowControl/>
              <w:spacing w:line="245" w:lineRule="auto" w:before="292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5.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Indicação do responsável pela solicitação de autorizações do poder público e órgãos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fiscalização, se necessárias. </w:t>
            </w:r>
          </w:p>
        </w:tc>
      </w:tr>
      <w:tr>
        <w:trPr>
          <w:trHeight w:hRule="exact" w:val="784"/>
        </w:trPr>
        <w:tc>
          <w:tcPr>
            <w:tcW w:type="dxa" w:w="907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92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6.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Cláusulas de multa para o caso de descumprimento do dever de ressarcimento. </w:t>
            </w:r>
          </w:p>
        </w:tc>
      </w:tr>
      <w:tr>
        <w:trPr>
          <w:trHeight w:hRule="exact" w:val="782"/>
        </w:trPr>
        <w:tc>
          <w:tcPr>
            <w:tcW w:type="dxa" w:w="9076"/>
            <w:tcBorders>
              <w:start w:sz="3.2000000000000455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92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7.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Cláusulas de definição das hipóteses de rescisão e formas de execução do contrato. </w:t>
            </w:r>
          </w:p>
        </w:tc>
      </w:tr>
    </w:tbl>
    <w:p>
      <w:pPr>
        <w:autoSpaceDN w:val="0"/>
        <w:autoSpaceDE w:val="0"/>
        <w:widowControl/>
        <w:spacing w:line="245" w:lineRule="auto" w:before="122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___________________________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16"/>
        </w:rPr>
        <w:t>1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Os contratos especiais não necessitam vir à homologação da ARES-PCJ para vigorarem, esta Agência Reguladora apenas os 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considerará conforme periodicidade de envio de relatórios estipulada em resolução, no entanto, caso o contrato especial </w:t>
      </w:r>
      <w:r>
        <w:rPr>
          <w:rFonts w:ascii="Calibri" w:hAnsi="Calibri" w:eastAsia="Calibri"/>
          <w:b w:val="0"/>
          <w:i w:val="0"/>
          <w:color w:val="000000"/>
          <w:sz w:val="18"/>
        </w:rPr>
        <w:t>estabelecido entre concessionária e empreendedor não atenda o conteúdo mínimo definido neste Anexo II, da Resolução ARES-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PCJ nº 432/2022, o instrumento só vigorará após homologação da Agência Reguladora PCJ (ARES-PCJ).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31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432 – 25/05/2022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sectPr w:rsidR="00FC693F" w:rsidRPr="0006063C" w:rsidSect="00034616">
      <w:pgSz w:w="11908" w:h="16836"/>
      <w:pgMar w:top="282" w:right="1078" w:bottom="544" w:left="141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