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433, DE 27 DE MAIO DE 2022 (*) </w:t>
      </w:r>
    </w:p>
    <w:p>
      <w:pPr>
        <w:autoSpaceDN w:val="0"/>
        <w:autoSpaceDE w:val="0"/>
        <w:widowControl/>
        <w:spacing w:line="245" w:lineRule="auto" w:before="642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revisão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Jaguariúna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Jaguariúna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Jaguariúna, através do DAE – Departamento de Água e Esgoto,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Jaguariúna;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04/2022-DFB,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Jaguariúna,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3.022/2012 e seus membros nomeados pela Portaria nº 1.563/2021,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 de maio de 2022, analisou e aprovou o conteúdo do Parecer Consolidado ARES-PCJ nº 04/2022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DFB, inclusive os índices propostos de reajuste dos valores das Tarifas de Água e Esgoto,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através do DAE – Departamento de Água e Esgoto; e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Jaguariúna,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26 de maio de 2022, </w:t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1"/>
        </w:rPr>
        <w:t xml:space="preserve">(*) Esta Resolução está sendo republicada, pois a que foi publicada em 27/05/2022 continha dados errôneos.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433 – 27/05/2022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praticados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Jaguariúna, através do DAE – Departamento de Água e Esgoto, em 15% (quinze por cento).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a partir do mês de julho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 de Esgoto aos valores das Tarifas de Água, passando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atuais 90% (noventa por cento) para 100% (cem por cento) desses valores, ora reajustados.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a serem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conforme apresentado na Tabela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Departamento de Água e Esgoto de Jaguariúna, em 11,30% (onze inteiros e trinta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a partir do mês de julho de 2022.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de Jaguariúna, através do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Esgoto, afixará as tabelas com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 Demais Serviços em local de fácil acesso e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Jaguariúna, após 30 (trinta) dias da publicação, na íntegra,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Jaguariúna,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 DAE – Departamento de Água e Esgoto de Jaguariúna,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publicação, substituindo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publicada em 27/05/2022 que continha dados errôneos.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433 – 27/05/2022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13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433, DE 27 DE MAIO DE 2022 (*) </w:t>
      </w:r>
    </w:p>
    <w:p>
      <w:pPr>
        <w:autoSpaceDN w:val="0"/>
        <w:autoSpaceDE w:val="0"/>
        <w:widowControl/>
        <w:spacing w:line="197" w:lineRule="auto" w:before="350" w:after="0"/>
        <w:ind w:left="0" w:right="39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278"/>
        </w:trPr>
        <w:tc>
          <w:tcPr>
            <w:tcW w:type="dxa" w:w="879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5,72 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5,72 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11,44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1,04 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1,04 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2,08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1,61 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1,61 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3,22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8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1,98 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1,98  </w:t>
            </w:r>
          </w:p>
        </w:tc>
        <w:tc>
          <w:tcPr>
            <w:tcW w:type="dxa" w:w="170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3,96  </w:t>
            </w:r>
          </w:p>
        </w:tc>
      </w:tr>
      <w:tr>
        <w:trPr>
          <w:trHeight w:hRule="exact" w:val="282"/>
        </w:trPr>
        <w:tc>
          <w:tcPr>
            <w:tcW w:type="dxa" w:w="227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2,37 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2,37  </w:t>
            </w:r>
          </w:p>
        </w:tc>
        <w:tc>
          <w:tcPr>
            <w:tcW w:type="dxa" w:w="170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4,74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2,83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2,83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5,66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3,43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3,43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6,86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4,11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4,11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8,22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4,90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4,90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9,80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5,89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5,89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11,78 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280"/>
        </w:trPr>
        <w:tc>
          <w:tcPr>
            <w:tcW w:type="dxa" w:w="879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NORMAL </w:t>
            </w:r>
          </w:p>
        </w:tc>
      </w:tr>
      <w:tr>
        <w:trPr>
          <w:trHeight w:hRule="exact" w:val="548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11,43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11,43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22,86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1,38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1,38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2,76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1,61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1,61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3,22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1,98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1,98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3,96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2,37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2,37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4,74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2,83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2,83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5,66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3,43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3,43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6,86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4,11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4,11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8,22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4,90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4,90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9,80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5,89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                    5,89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11,78 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280"/>
        </w:trPr>
        <w:tc>
          <w:tcPr>
            <w:tcW w:type="dxa" w:w="879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4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82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27,20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27,20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54,40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3,28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6,56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7,86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11,32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6,77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13,54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16,28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9,78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19,56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11,72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11,72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23,44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14,06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14,06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28,12 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433 – 27/05/2022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388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280"/>
        </w:trPr>
        <w:tc>
          <w:tcPr>
            <w:tcW w:type="dxa" w:w="879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27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54,75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54,75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109,50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6,28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12,56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14,36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16,58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19,04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41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10,95 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10,95 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21,90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12,57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12,57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25,14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14,48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14,48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28,96  </w:t>
            </w:r>
          </w:p>
        </w:tc>
      </w:tr>
      <w:tr>
        <w:trPr>
          <w:trHeight w:hRule="exact" w:val="27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16,66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16,66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33,32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19,14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19,14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38,28 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278"/>
        </w:trPr>
        <w:tc>
          <w:tcPr>
            <w:tcW w:type="dxa" w:w="8796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OUTROS </w:t>
            </w:r>
          </w:p>
        </w:tc>
      </w:tr>
      <w:tr>
        <w:trPr>
          <w:trHeight w:hRule="exact" w:val="548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30,14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30,14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60,28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8,68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5,18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10,36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6,23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12,46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14,98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45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8,95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8,95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17,90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10,81 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10,81 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21,62  </w:t>
            </w:r>
          </w:p>
        </w:tc>
      </w:tr>
      <w:tr>
        <w:trPr>
          <w:trHeight w:hRule="exact" w:val="280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12,94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12,94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25,88 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101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15,50 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15,50 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31,00 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280"/>
        </w:trPr>
        <w:tc>
          <w:tcPr>
            <w:tcW w:type="dxa" w:w="879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O.S. </w:t>
            </w:r>
          </w:p>
        </w:tc>
      </w:tr>
      <w:tr>
        <w:trPr>
          <w:trHeight w:hRule="exact" w:val="548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6"/>
        </w:trPr>
        <w:tc>
          <w:tcPr>
            <w:tcW w:type="dxa" w:w="227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0,30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0,60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2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 valor das Tarifas de Água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1"/>
        </w:rPr>
        <w:t xml:space="preserve">(*) Esta Resolução está sendo republicada, pois a que foi publicada em 27/05/2022 continha dados errôneos.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7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433 – 27/05/2022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16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433, DE 27 DE MAIO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4"/>
        <w:gridCol w:w="4694"/>
      </w:tblGrid>
      <w:tr>
        <w:trPr>
          <w:trHeight w:hRule="exact" w:val="548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Levantar/Rebaixar/Virar Cavalete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38,79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38,79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Reabertura </w:t>
            </w:r>
          </w:p>
        </w:tc>
        <w:tc>
          <w:tcPr>
            <w:tcW w:type="dxa" w:w="1124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61,66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(3m³/h) </w:t>
            </w:r>
          </w:p>
        </w:tc>
        <w:tc>
          <w:tcPr>
            <w:tcW w:type="dxa" w:w="1124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137,40 </w:t>
            </w:r>
          </w:p>
        </w:tc>
      </w:tr>
      <w:tr>
        <w:trPr>
          <w:trHeight w:hRule="exact" w:val="322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(5m³/h)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189,17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(7m³/h)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499,36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(10m³/h)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552,54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(20m³/h)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978,45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(30m³/h)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1.313,54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38,79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Violação de Hidrômetro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330,29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Ligação Clandestina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446,32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Implantação de Viela por Metro Linear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41,65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Calibração a Pedido do Proprietário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278,92 </w:t>
            </w:r>
          </w:p>
        </w:tc>
      </w:tr>
      <w:tr>
        <w:trPr>
          <w:trHeight w:hRule="exact" w:val="54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a impedimento voluntário à promoção da Leitura do Hidrômetro ou à execução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manutenção do Cavalete e Hidrômetro pela prestadora de serviços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233,20 </w:t>
            </w:r>
          </w:p>
        </w:tc>
      </w:tr>
      <w:tr>
        <w:trPr>
          <w:trHeight w:hRule="exact" w:val="548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Lançamento, pelo usuário, de Esgotos Domésticos na ETE - Estação de Tratamento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Esgoto, através de Caminhão Limpa Fossa (por viagem)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116,60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Transporte e Destinação de Resíduos de Esgoto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104,93 </w:t>
            </w:r>
          </w:p>
        </w:tc>
      </w:tr>
      <w:tr>
        <w:trPr>
          <w:trHeight w:hRule="exact" w:val="548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ÁGUA EM RESIDÊNCIAS, CONDOMÍNIOS, COMÉRCIO, INDÚSTRIA E OUTROS, SEM CORTE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ASFALTO, PARA HIDRÔMETROS DE: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566,85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655,18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1.118,91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1.199,29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1.685,65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2.694,14 </w:t>
            </w:r>
          </w:p>
        </w:tc>
      </w:tr>
      <w:tr>
        <w:trPr>
          <w:trHeight w:hRule="exact" w:val="546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ÁGUA EM RESIDÊNCIAS, CONDOMÍNIOS, COMÉRCIO, INDÚSTRIA E OUTROS, COM CORTE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ASFALTO, PARA HIDRÔMETROS DE: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831,50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1.249,61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1.638,09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1.757,37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2.465,53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3.937,95 </w:t>
            </w:r>
          </w:p>
        </w:tc>
      </w:tr>
    </w:tbl>
    <w:p>
      <w:pPr>
        <w:autoSpaceDN w:val="0"/>
        <w:tabs>
          <w:tab w:pos="8796" w:val="left"/>
        </w:tabs>
        <w:autoSpaceDE w:val="0"/>
        <w:widowControl/>
        <w:spacing w:line="197" w:lineRule="auto" w:before="54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433 – 27/05/2022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10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548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 PARTIR DA SEGUNDA LIGAÇÃO DE ÁGUA COM PLANTA APROVADA PELA PREFEITURA, SEM CORTE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ASFALTO, PARA HIDRÔMETROS DE: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514,62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775,52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1.017,33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1.091,66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1.533,05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2.450,78 </w:t>
            </w:r>
          </w:p>
        </w:tc>
      </w:tr>
      <w:tr>
        <w:trPr>
          <w:trHeight w:hRule="exact" w:val="548"/>
        </w:trPr>
        <w:tc>
          <w:tcPr>
            <w:tcW w:type="dxa" w:w="9348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 PARTIR DA SEGUNDA LIGAÇÃO DE ÁGUA COM PLANTA APROVADA PELA PREFEITURA, COM CORTE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ASFALTO, PARA HIDRÔMETROS DE: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755,79 </w:t>
            </w:r>
          </w:p>
        </w:tc>
      </w:tr>
      <w:tr>
        <w:trPr>
          <w:trHeight w:hRule="exact" w:val="326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1.136,77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1.489,80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1.598,32 </w:t>
            </w:r>
          </w:p>
        </w:tc>
      </w:tr>
      <w:tr>
        <w:trPr>
          <w:trHeight w:hRule="exact" w:val="320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2.242,76 </w:t>
            </w:r>
          </w:p>
        </w:tc>
      </w:tr>
      <w:tr>
        <w:trPr>
          <w:trHeight w:hRule="exact" w:val="324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30m³/h </w:t>
            </w:r>
          </w:p>
        </w:tc>
        <w:tc>
          <w:tcPr>
            <w:tcW w:type="dxa" w:w="112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3.582,67 </w:t>
            </w:r>
          </w:p>
        </w:tc>
      </w:tr>
      <w:tr>
        <w:trPr>
          <w:trHeight w:hRule="exact" w:val="548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Residências, Condomínios, Comércio, Indústria e Outros, Sem Corte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Asfalto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293,39 </w:t>
            </w:r>
          </w:p>
        </w:tc>
      </w:tr>
      <w:tr>
        <w:trPr>
          <w:trHeight w:hRule="exact" w:val="544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Residências, Condomínios, Comércio, Indústria e Outros, Com Corte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Asfalto </w:t>
            </w:r>
          </w:p>
        </w:tc>
        <w:tc>
          <w:tcPr>
            <w:tcW w:type="dxa" w:w="112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613,15 </w:t>
            </w:r>
          </w:p>
        </w:tc>
      </w:tr>
    </w:tbl>
    <w:p>
      <w:pPr>
        <w:autoSpaceDN w:val="0"/>
        <w:autoSpaceDE w:val="0"/>
        <w:widowControl/>
        <w:spacing w:line="197" w:lineRule="auto" w:before="336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1"/>
        </w:rPr>
        <w:t xml:space="preserve">(*) Esta Resolução está sendo republicada, pois a que foi publicada em 27/05/2022 continha dados errôneos. </w:t>
      </w:r>
    </w:p>
    <w:p>
      <w:pPr>
        <w:autoSpaceDN w:val="0"/>
        <w:tabs>
          <w:tab w:pos="8796" w:val="left"/>
        </w:tabs>
        <w:autoSpaceDE w:val="0"/>
        <w:widowControl/>
        <w:spacing w:line="197" w:lineRule="auto" w:before="718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433 – 27/05/2022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374" w:right="1120" w:bottom="572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