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6" w:after="0"/>
        <w:ind w:left="140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435, DE 01 DE JUNHO DE 2022</w:t>
      </w:r>
    </w:p>
    <w:p>
      <w:pPr>
        <w:autoSpaceDN w:val="0"/>
        <w:autoSpaceDE w:val="0"/>
        <w:widowControl/>
        <w:spacing w:line="245" w:lineRule="auto" w:before="638" w:after="0"/>
        <w:ind w:left="4248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Estabelece condições, procedimentos e metodologia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cálculo aplicáveis aos processos de reajustes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revisões tarifários dos prestadores de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de abastecimento de água e esgotamento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sanitário nos municípios associados à ARES-PCJ e dá </w:t>
      </w:r>
      <w:r>
        <w:rPr>
          <w:rFonts w:ascii="Calibri" w:hAnsi="Calibri" w:eastAsia="Calibri"/>
          <w:b w:val="0"/>
          <w:i/>
          <w:color w:val="000000"/>
          <w:sz w:val="24"/>
        </w:rPr>
        <w:t>outras providências.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2007, alterada pela Lei federal nº 14.026,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2020, estabelece diretrizes nacionais para o saneamento básico, e 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7.217/2010 a regulamenta.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artigo 23, incisos I, IV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Protocolo de Intenções da Agência Reguladora PCJ (ARES-PCJ),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nos termos da Cláusula 13ª, § único, incisos I, III e IV, dispõe sobre a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associada, transferência e delegação das competências municipais para o exercício das atividades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regulação e fiscalização, fixação, reajuste e revisão das tarifas, taxas ou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à prestação dos serviços públicos de saneamento básico à Agência Reguladora PCJ.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apurou a necessidade de desenvolver estudos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aprimoramento da Resolução ARES-PCJ nº 115/2015, tendo em vista a experiência adquirida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econômica de tarifas, que sinalizou possibilidade de avanços e aperfeiçoamentos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nesse campo.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no desenvolvimento dos estudos de aprimoramento da Resolução ARES-PCJ nº 115/2015,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 elaborou a AIR - Análise de Impacto Regulatório nº 01/2022, tratando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repercussão das alterações propostas sobre a dinâmica da prestação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básico, no âmbito dos municípios associados à esta agência.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após a aprovação da AIR - Análise de Impacto Regulatório foram realizadas Consulta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os meses de março e abril de 2022 e Audiência Pública no dia 06/04/2022, para agregar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opiniões e contribuições dos interessados no tema.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de controle social e dos requisitos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justificativas técnicas e legais para edição desta norma de abrangência geral,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ARES-PCJ, reunida em 31 de maio de 2022,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Editar normativa sobre condições, procedimentos e metodologias de cálculos aplicáveis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de revisões e reajustes tarifários dos prestadores de serviços públicos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 nos municípios associados à Agência Reguladora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das Bacias dos Rios Piracicaba, Capivari e Jundiaí (Agência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ou ARES-PCJ), nos seguintes termos: </w:t>
      </w:r>
    </w:p>
    <w:p>
      <w:pPr>
        <w:autoSpaceDN w:val="0"/>
        <w:autoSpaceDE w:val="0"/>
        <w:widowControl/>
        <w:spacing w:line="245" w:lineRule="auto" w:before="638" w:after="0"/>
        <w:ind w:left="4032" w:right="42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 OBJETO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Esta Resolução estabelece condições, procedimentos e metodologias de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 aos processos de revisões e reajustes tarifários dos prestadores de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abastecimento de água e esgotamento sanitário, no âmbito dos municípios associados à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quando da instauração de processos dessa natureza.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Esta Resolução não se aplica aos reajustes de tarifas ou valores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contraprestação em caso de prestação dos serviços públicos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mediante contratos de concessão plena (água e esgoto) ou por contratos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parceria público-privada (PPPs), cujas regras estão estabelecidas pela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303/2019. </w:t>
      </w:r>
    </w:p>
    <w:p>
      <w:pPr>
        <w:autoSpaceDN w:val="0"/>
        <w:autoSpaceDE w:val="0"/>
        <w:widowControl/>
        <w:spacing w:line="245" w:lineRule="auto" w:before="638" w:after="0"/>
        <w:ind w:left="3744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DEFINIÇÕES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Para os fins desta Resolução são adotadas as seguintes definições: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CICLO TARIFÁRIO: período de 24 (vinte e quatro) meses no qual vigoram 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em processo de revisão tarifária, e corrigidas após 12 (doze) meses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DATA BASE TARIFÁRIA: Data do último reajuste ou da última revisão tarifária realizado.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FÓRMULA PARAMÉTRICA: expressão matemática utilizada para apuração de índices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nos processos de Revisão e Reajustes Tarifários, adequada de acordo com as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metodologias específicas a cada processo.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PLANO DE INVESTIMENTOS: conjunto de investimentos nos sistemas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sanitário, programados dentro do Ciclo Tarifário em consonância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PMSB – Plano Municipal de Saneamento Básico e demais planejamentos municipais e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classificação de investimentos regulatórios adotada pela ARES-PCJ. </w:t>
      </w:r>
    </w:p>
    <w:p>
      <w:pPr>
        <w:autoSpaceDN w:val="0"/>
        <w:autoSpaceDE w:val="0"/>
        <w:widowControl/>
        <w:spacing w:line="245" w:lineRule="auto" w:before="292" w:after="0"/>
        <w:ind w:left="0" w:right="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– REAJUSTE TARIFÁRIO: Mecanismo de correção inflacionária das tarifas de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esgotamento sanitário para recuperação de variações de preço em itens de custo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serviços, respeitado o intervalo mínimo de 12 (doze) meses para sua atualização,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termos do art. 37, da Lei Federal nº 11.445/2007 e do art. 50, Decreto Federal nº 7.217/2010. </w:t>
      </w:r>
    </w:p>
    <w:p>
      <w:pPr>
        <w:autoSpaceDN w:val="0"/>
        <w:autoSpaceDE w:val="0"/>
        <w:widowControl/>
        <w:spacing w:line="245" w:lineRule="auto" w:before="344" w:after="0"/>
        <w:ind w:left="0" w:right="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– REVISÃO TARIFÁRIA: mecanismo utilizado para reavaliar as condições gerais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e tarifas praticadas, de forma a garantir a sustentabilidade econômico-financeira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serviços, em regime de eficiência, frente às necessidades de operação, e ampliação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sistemas, nos termos do art. 38, da Lei Federal nº 11.445/2007 e do art. 51, do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7.217/2010.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– REVISÃO TARIFÁRIA EXTRAORDINÁRIA: mecanismo de reavaliação das condições gerais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e das tarifas e de outros preços públicos praticados em prazo inferior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24 (vinte e quatro) meses da última Revisão Tarifária, em decorrência de fatos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causem alteração no equilíbrio econômico-financeiro da prestação dos serviços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e que sejam classificados como externos à participação 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prestador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– SISTEMA DE GESTÃO REGULATÓRIA: Sistema para coleta de dados operacionais,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econômicos e contábeis dos prestadores de serviços de saneamento básico regulados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fiscalizados pela ARES-PCJ, para apoio às análises regulatórias, indicadores, metas, reajustes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revisões tarifárias. </w:t>
      </w:r>
    </w:p>
    <w:p>
      <w:pPr>
        <w:autoSpaceDN w:val="0"/>
        <w:autoSpaceDE w:val="0"/>
        <w:widowControl/>
        <w:spacing w:line="245" w:lineRule="auto" w:before="640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CONDIÇÕES GERAIS</w:t>
      </w:r>
    </w:p>
    <w:p>
      <w:pPr>
        <w:autoSpaceDN w:val="0"/>
        <w:tabs>
          <w:tab w:pos="4356" w:val="left"/>
        </w:tabs>
        <w:autoSpaceDE w:val="0"/>
        <w:widowControl/>
        <w:spacing w:line="245" w:lineRule="auto" w:before="346" w:after="0"/>
        <w:ind w:left="3094" w:right="316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 Aplicabilidade da Resolução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A presente Resolução tem aplicação obrigatória para todos os prestadores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públicos de abastecimento de água e esgotamento sanitário regulados e fiscalizados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exceção feita aos casos dispostos no Parágrafo único, do Art. 1º. </w:t>
      </w:r>
    </w:p>
    <w:p>
      <w:pPr>
        <w:autoSpaceDN w:val="0"/>
        <w:autoSpaceDE w:val="0"/>
        <w:widowControl/>
        <w:spacing w:line="245" w:lineRule="auto" w:before="346" w:after="0"/>
        <w:ind w:left="3744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 Ciclo Tarifário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2" w:right="104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0" w:right="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A regulação econômica das tarifas e dos preços públicos praticados pelos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deverá obedecer a vigência do Ciclo Tarifário,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de 24 (vinte e quatro) meses, iniciado por processo de Revisão Tarifária e seguido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 subsequente de Reajuste Tarifário anual, após 12 (doze) meses da aplicação da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tarifária. </w:t>
      </w:r>
    </w:p>
    <w:p>
      <w:pPr>
        <w:autoSpaceDN w:val="0"/>
        <w:autoSpaceDE w:val="0"/>
        <w:widowControl/>
        <w:spacing w:line="245" w:lineRule="auto" w:before="344" w:after="0"/>
        <w:ind w:left="0" w:right="3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Nas hipóteses de Municípios recém-ingressantes na ARES-PCJ, e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excepcional, diante da necessidade de implantação das metodologias e rotinas regulatórias,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o Ciclo Tarifário ser iniciado por Reajuste Tarifário, com vistas a melhor apuração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e consolidação de informações para efeitos regulatórios.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</w:t>
      </w:r>
      <w:r>
        <w:rPr>
          <w:rFonts w:ascii="Calibri" w:hAnsi="Calibri" w:eastAsia="Calibri"/>
          <w:b w:val="0"/>
          <w:i/>
          <w:color w:val="000000"/>
          <w:sz w:val="24"/>
        </w:rPr>
        <w:t>ARES-PCJ nº 569, de 02/07/2024)</w:t>
      </w:r>
    </w:p>
    <w:p>
      <w:pPr>
        <w:autoSpaceDN w:val="0"/>
        <w:autoSpaceDE w:val="0"/>
        <w:widowControl/>
        <w:spacing w:line="245" w:lineRule="auto" w:before="348" w:after="0"/>
        <w:ind w:left="0" w:right="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As resoluções a serem emitidas pela ARES-PCJ, referentes aos processos de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Tarifária, deverão instituir os respectivos Ciclos Tarifários, incluindo definição do período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vigência e a fixação das datas de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4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Resolução específica da ARES-PCJ definirá calendário de instituição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de Revisão Tarifária dos prestadores de serviços de abastecimento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sanitários abrangidos por esta Resolução. </w:t>
      </w:r>
    </w:p>
    <w:p>
      <w:pPr>
        <w:autoSpaceDN w:val="0"/>
        <w:autoSpaceDE w:val="0"/>
        <w:widowControl/>
        <w:spacing w:line="245" w:lineRule="auto" w:before="344" w:after="0"/>
        <w:ind w:left="3600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 Revisão Tarifária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A Revisão Tarifária tem por finalidade reavaliar as condições gerais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das tarifas praticadas, de forma a garantir a sustentabilidade econômico-financeira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serviços, em regime de eficiência, frente às necessidades de operação e ampliação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sistemas, e deverá seguir a metodologia de cálculo, descrita no Anexo I, e análise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comprobatórios, descritos no Anexo II, nos termos do art. 38,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 e do art. 51, do Decreto Federal nº 7.217/2010, e da Resolução ARES-PCJ nº 161,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08/12/2016. </w:t>
      </w:r>
    </w:p>
    <w:p>
      <w:pPr>
        <w:autoSpaceDN w:val="0"/>
        <w:autoSpaceDE w:val="0"/>
        <w:widowControl/>
        <w:spacing w:line="245" w:lineRule="auto" w:before="346" w:after="0"/>
        <w:ind w:left="0" w:right="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7º. O processo de Revisão Tarifária será iniciado por meio de ato administrativo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antecedência mínima de 120 (cento e vinte) dias da data-base de aplicação das novas tarifas,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 calendário de Revisões ou o Ciclo Tarifário anteriormente estabelecido para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348" w:after="0"/>
        <w:ind w:left="0" w:right="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8º. Quando da abertura do processo de Revisão Tarifária, o prestador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será comunicado e terá o prazo de até 5 (cinco) dias úteis para manifestação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respeito do procedimento apresentação da documentação exigida no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Caso o prestador manifeste contrariedade acerca da realização da revisão tarifária,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justificar e apresentar os atos que motivaram tal decisão. </w:t>
      </w:r>
    </w:p>
    <w:p>
      <w:pPr>
        <w:autoSpaceDN w:val="0"/>
        <w:autoSpaceDE w:val="0"/>
        <w:widowControl/>
        <w:spacing w:line="245" w:lineRule="auto" w:before="346" w:after="0"/>
        <w:ind w:left="0" w:right="3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§2º A manifestação contrária à realização de Revisão Tarifária implicará renúncia à data base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previamente estabelecida pela ARES-PCJ para abertura do Ciclo Tarifário. Fica garantida ao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prestador de serviços a possibilidade de solicitação de redefinição da data base do ciclo tarifário,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3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50" w:right="104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0" w:right="3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desde que em período não inferior a 180 (cento e oitenta) dias da data base original e sem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prejuízo ao calendário dos ciclos tarifários dos demais prestadores de serviços regulados pela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Agência Reguladora PCJ.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manifestação contrária à realização de Revisão Tarifária implicará renúncia à data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estabelecida pela ARES-PCJ para abertura do Ciclo Tarifário. Fica garantida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 a possibilidade de solicitação de redefinição da data base do ciclo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tarifário, sem prejuízo ao calendário dos ciclos tarifários dos demais prestadores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regulados pela Agência Reguladora ARES-PCJ.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Resolução ARES-PCJ nº 580, de </w:t>
      </w:r>
      <w:r>
        <w:rPr>
          <w:rFonts w:ascii="Calibri" w:hAnsi="Calibri" w:eastAsia="Calibri"/>
          <w:b w:val="0"/>
          <w:i/>
          <w:color w:val="000000"/>
          <w:sz w:val="24"/>
        </w:rPr>
        <w:t>26/09/2024)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No prazo de 5 (cinco) dias úteis contados a partir da manifestação do prestador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envio da documentação exigida, a ARES-PCJ realizará análise preliminar das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 para a devida instrução dos estudos e avaliações necessários à análise.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Caso entenda ser necessário, a ARES-PCJ poderá solicitar, ao prestador dos serviços, o envio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informações complementares, concedendo-lhe prazo de 05 (cinco) dias úteis para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cumprimento, prorrogáveis por igual período, uma única vez.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Ao fim do período de análise preliminar e solicitação de informações complementares,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comunicará ao prestador dos serviços a avaliação de disponibilidade dos parâmetros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etapa de análise.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6º. Os documentos exigidos no Anexo II desta Resolução, conforme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encaminhados pelo prestador de serviços por meio eletrônico, através dos canais indicados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 e, quando solicitado, deverão ser protocolados pelo sistema de protocolo digital.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9º. A ARES-PCJ terá o prazo de 30 (trinta) dias úteis para concluir a análise da revisão tarifária,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da certificação da complementação de documentos, momento em que se dará o início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instrução processual.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Ao final da análise do pleito será emitido, pelo Diretor designado,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Consolidado, referente à Revisão Tarifária.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10. Da decisão do Diretor designado para a Revisão Tarifária, cabe Pedido de Reconsideração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de 10 (dez) dias úteis, dirigido ao próprio Diretor que proferiu a decisão.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Negado o Pedido de Reconsideração na Revisão Tarifária, caberá Recurso de Revisão,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no prazo de 10 (dez) dias úteis, a contar da ciência da decisão, dirigido à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ARES-PCJ.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O Parecer Consolidado, referente à Revisão Tarifária, será submetido ao procedimento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Controle Social do município associado à ARES-PCJ, conforme regras definidas na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01/2011 e Resolução ARES-PCJ nº 161/2015.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50" w:right="10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13. O descumprimento dos prazos impostos ao prestador dos serviços, para apresentação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complementação de informações e documentos suspende a contagem dos prazos definidos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nesta Resolução, sendo que o atraso ocasionado pelo prestador dos serviços não gera direito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indenização, direitos retroativos ou ressarcimentos decorrentes do atraso da análise da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 pela ARES-PCJ.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14. Ao fim do processo de Revisão Tarifária, a ARES-PCJ emitirá Resolução específica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indicando os valores atualizados das tarifas e dos preços públicos dos demais serviços prestados,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substituindo no que couber qualquer outro ato homologatório de natureza semelhante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publicado anteriormente.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Os novos valores das tarifas, decorrentes das alterações da Revisão Tarifária,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praticados pelo prestador após 30 (trinta) dias da publicação da Resolução específica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pela ARES-PCJ, em sua íntegra, na imprensa oficial ou em jornal de grande circulação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do prestador, conforme determina o art. 39,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 deverá afixar tabela com os novos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em local de fácil acesso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obedecerá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iniciar as leituras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medições e as emissões das respectivas Contas/Faturas com os valores revisados.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 Reajuste Tarifário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O Reajuste Tarifário tem por finalidade a correção inflacionária dos valores das tarifas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serviços de saneamento básico, de modo a preservar 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estabelecidas para o Ciclo Tarifário.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17. O processo de Reajuste Tarifário será iniciado por meio de ato administrativo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com antecedência mínima de 90 (noventa) dias da data-base de aplicação das novas tarifas,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o ciclo tarifário estabelecido para o prestador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18. O prestador dos serviços de saneamento será comunicado da abertura do processo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 e terá o prazo de 5 (cinco) dias úteis para manifestação sobre a concordância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processo iniciado, sendo que, caso haja manifestação positiva, deverá apresentar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 exigida no Anexo II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Caso o prestador manifeste contrariedade acerca da realização do reajuste tarifário, ele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justificar e apresentar os atos que motivaram tal decisão.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A manifestação contrária ao processo de Reajuste Tarifário iniciado resultará na perda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data base de abertura do Ciclo Tarifário, ficando prejudicada nova solicitação posterior, hipótese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50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que o prestador estará sujeito à programação da Agenda Regulatória da ARES-PCJ para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início de um novo Ciclo Tarifário.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2º. A manifestação contrária ao processo de Reajuste Tarifário iniciado resultará na perda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data base de abertura do Ciclo Tarifário, ficando prejudicada nova solicitação posterior, hipótese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em que o prestador estará sujeito à programação da Coordenadoria de Contabilidade Regulatória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da ARES-PCJ para o início de um novo Ciclo Tarifário.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(Redação dada pela Resolução ARES-PCJ nº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550, de 26/03/2024)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A manifestação contrária ao processo de Reajuste Tarifário iniciado resultará na perda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 base de abertura do Ciclo Tarifário, hipótese em que o prestador estará sujeito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programação da Coordenadoria de Contabilidade Regulatória da ARES-PCJ para o início de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 Ciclo Tarifário e condicionando o pleito à reposição apenas dos 12 (doze) últimos meses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anteriores ao novo pedido.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580, de 26/09/2024)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3º. No prazo de 5 (cinco) dias úteis contados a partir do início do processo de Reajuste Tarifário,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realizará análise preliminar da documentação disponível para a devida instrução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estudos e avaliações necessários à análise.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Caso entenda ser necessário, a ARES-PCJ poderá solicitar, ao prestador dos serviços, o envio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informações complementares, concedendo prazo de 05 (cinco) dias úteis para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cumprimento, prorrogáveis por igual período, uma única vez.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5º. Os documentos exigidos no Anexo II desta Resolução, conforme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artigo,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encaminhados pelo prestador dos serviços por meio eletrônico, através dos canais indicados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ARES-PCJ e, quando solicitado, deverão ser protocolados pelo sistema de protocolo digital.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19. A ARES-PCJ terá o prazo de até 15 (quinze) dias úteis para concluir a análise do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tarifário, que ocorrerá com a certificação da complementação de documentos.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Parágrafo único. Ao final da análise do pleito será emitido, pelo Diretor designado, Parecer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Consolidado, referente ao Reajuste Tarifário.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Ao final da análise do pleito será emitido, pelo Diretor designado, Parecer Consolidado,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na fórmula paramétrica definida no Item 1.3 “Metodologia de Cálculo do Índice de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Esgoto”, constante do Anexo I desta Resolução.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(Redação dada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527, de 07/11/2023)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Quando da aplicação da fórmula paramétrica, caso haja impacto significativo na modicidade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tarifária, poderá o Diretor designado, de forma fundamentada, deliberar pela aplicação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inflacionária do período, utilizando o índice acumulado do IPCA/IBGE – Índice de Preço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Consumidor Amplo. </w:t>
      </w:r>
      <w:r>
        <w:rPr>
          <w:rFonts w:ascii="Calibri" w:hAnsi="Calibri" w:eastAsia="Calibri"/>
          <w:b w:val="0"/>
          <w:i/>
          <w:color w:val="000000"/>
          <w:sz w:val="24"/>
        </w:rPr>
        <w:t>(Redação dada pela Resolução ARES-PCJ nº 527, de 07/11/2023)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20. Da decisão do Diretor designado para o Reajuste Tarifário, cabe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Reconsideração, no prazo de 5 (cinco) dias úteis, dirigido ao próprio Diretor que proferiu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3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350" w:right="10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9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O Parecer Consolidado, referente ao Reajuste Tarifária, será submetido ao procedimento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Controle Social do município associado à ARES-PCJ, conforme regras definidas na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01/2011 e Resolução ARES-PCJ nº 161/2015.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Ao fim do processo de Reajuste Tarifário, a ARES-PCJ emitirá Resolução específica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indicando o percentual do reajuste e os valores atualizados das tarifas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prestados, substituindo no que couber qualquer outro ato homologatório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natureza semelhante publicado anteriormente.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23. Os novos valores das tarifas, decorrentes das alterações do Reajuste Tarifário, somente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praticados pelo prestador após 30 (trinta) dias da publicação da resolução específica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emitida pela ARES-PCJ, em sua integra, na imprensa oficial ou em jornal de grande circulação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do prestador, conforme determina o art. 39, da Lei Federal nº 11.445/2007,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respeitando o período mínimo de 12 (doze) meses da última revisão tarifária.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1º. O prestador de serviços deverá afixar tabela com os novos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em local de fácil acesso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consumidores e em seu sítio na internet.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2º. O prestador obedecerá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para iniciar as leituras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>e medições e as emissões das respectivas Contas/Faturas com os valores reajustados.</w:t>
      </w:r>
    </w:p>
    <w:p>
      <w:pPr>
        <w:autoSpaceDN w:val="0"/>
        <w:autoSpaceDE w:val="0"/>
        <w:widowControl/>
        <w:spacing w:line="245" w:lineRule="auto" w:before="346" w:after="0"/>
        <w:ind w:left="2880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 Revisão Tarifária Extraordinária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24. A Revisão Tarifária extraordinária é o mecanismo de reavaliação das condições gerais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e das tarifas e de outros preços públicos praticados na última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Tarifária, em decorrência de fatos que causem grave alteração no 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da prestação dos serviços abastecimento de água e esgotamento sanitário e que sejam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classificados como externos à participação e à responsabilidade do prestador de serviços. </w:t>
      </w:r>
    </w:p>
    <w:p>
      <w:pPr>
        <w:autoSpaceDN w:val="0"/>
        <w:autoSpaceDE w:val="0"/>
        <w:widowControl/>
        <w:spacing w:line="245" w:lineRule="auto" w:before="3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25. Prestador dos Serviços Públicos de Saneamento Básico é parte legítima para apresentar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>o pleito de Revisão Tarifária Extraordinária.</w:t>
      </w:r>
    </w:p>
    <w:p>
      <w:pPr>
        <w:autoSpaceDN w:val="0"/>
        <w:autoSpaceDE w:val="0"/>
        <w:widowControl/>
        <w:spacing w:line="245" w:lineRule="auto" w:before="3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Tarifária Extraordinária será processada e decidida pela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>podendo ser apresentada a qualquer momento durante a vigência do Ciclo Tarifário.</w:t>
      </w:r>
    </w:p>
    <w:p>
      <w:pPr>
        <w:autoSpaceDN w:val="0"/>
        <w:autoSpaceDE w:val="0"/>
        <w:widowControl/>
        <w:spacing w:line="245" w:lineRule="auto" w:before="3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26. O pleito de Revisão Tarifária Extraordinária deverá ser instruído com os documentos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constantes nos anexos desta Resolução, sem prejuízo dos seguintes elementos: </w:t>
      </w:r>
    </w:p>
    <w:p>
      <w:pPr>
        <w:autoSpaceDN w:val="0"/>
        <w:autoSpaceDE w:val="0"/>
        <w:widowControl/>
        <w:spacing w:line="245" w:lineRule="auto" w:before="37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Descrição dos eventos que promovam alteração no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serviços, com a indicação da estimativa de impacto contratual em relação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previsto na última Revisão Tarifária;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Base de dados utilizada;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26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Memória de cálculo inteligível dos valores apresentados no pleito de revisão;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– Justificativa de classificação do fato como extraordinário. </w:t>
      </w:r>
    </w:p>
    <w:p>
      <w:pPr>
        <w:autoSpaceDN w:val="0"/>
        <w:autoSpaceDE w:val="0"/>
        <w:widowControl/>
        <w:spacing w:line="245" w:lineRule="auto" w:before="372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base de dados utilizada na avaliação do pleito deverá atender aos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requisitos: </w:t>
      </w:r>
    </w:p>
    <w:p>
      <w:pPr>
        <w:autoSpaceDN w:val="0"/>
        <w:autoSpaceDE w:val="0"/>
        <w:widowControl/>
        <w:spacing w:line="197" w:lineRule="auto" w:before="3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Ser fundamentada no plano de contas e demonstrações contábeis do prestador de serviços;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Conter todos os elementos utilizados como base para os cálculos projetados;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Possuir origem em fontes acuradas e confiáveis. </w:t>
      </w:r>
    </w:p>
    <w:p>
      <w:pPr>
        <w:autoSpaceDN w:val="0"/>
        <w:autoSpaceDE w:val="0"/>
        <w:widowControl/>
        <w:spacing w:line="245" w:lineRule="auto" w:before="37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27. Caso entenda necessário, a ARES-PCJ poderá requerer que a parte solicitante apresente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complementares, para melhor entendimento do pleito, concedendo prazo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(quinze) dias úteis para o seu cumprimento, sendo que o prazo pode ser prorrogado por igual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período, uma única vez.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28. A ARES-PCJ terá o prazo de até 40 (quarenta) dias úteis para concluir a análise do pleito,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contados da finalização da instrução, que ocorrerá com a certificação da complementação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documentos. </w:t>
      </w:r>
    </w:p>
    <w:p>
      <w:pPr>
        <w:autoSpaceDN w:val="0"/>
        <w:autoSpaceDE w:val="0"/>
        <w:widowControl/>
        <w:spacing w:line="245" w:lineRule="auto" w:before="3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Ao final da análise do pleito será emitido, pelo Diretor designado,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Consolidado, referente à Revisão Tarifária Extraordinária. </w:t>
      </w:r>
    </w:p>
    <w:p>
      <w:pPr>
        <w:autoSpaceDN w:val="0"/>
        <w:autoSpaceDE w:val="0"/>
        <w:widowControl/>
        <w:spacing w:line="245" w:lineRule="auto" w:before="37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29. Da decisão do Diretor designado para a Revisão Tarifária Extraordinária, cabe Pedido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Reconsideração, no prazo de 10 (dez) dias úteis, dirigido ao próprio Diretor que proferiu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decisão. </w:t>
      </w:r>
    </w:p>
    <w:p>
      <w:pPr>
        <w:autoSpaceDN w:val="0"/>
        <w:autoSpaceDE w:val="0"/>
        <w:widowControl/>
        <w:spacing w:line="245" w:lineRule="auto" w:before="37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Negado o Pedido de Reconsideração na Revisão Tarifária Extraordinária, caberá Recurso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Revisão, também no prazo de 10 (dez) dias úteis, a contar da ciência da decisão, dirigido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ARES-PCJ. </w:t>
      </w:r>
    </w:p>
    <w:p>
      <w:pPr>
        <w:autoSpaceDN w:val="0"/>
        <w:autoSpaceDE w:val="0"/>
        <w:widowControl/>
        <w:spacing w:line="245" w:lineRule="auto" w:before="372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O Parecer Consolidado, referente à Revisão Tarifária Extraordinária, será submetido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de Controle Social do município associado à ARES-PCJ, conforme regras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Resolução ARES-PCJ nº 01/2011 e Resolução ARES-PCJ nº 161/2015.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32. Para os casos de Revisão Tarifária Extraordinária, a ARES-PCJ emitirá Resolução específica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indicando o percentual dos valores atualizados das tarifas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prestados, e terá efeito vinculante, substituindo no que couber qualquer outro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homologatório de natureza semelhante publicado anteriormente. </w:t>
      </w:r>
    </w:p>
    <w:p>
      <w:pPr>
        <w:autoSpaceDN w:val="0"/>
        <w:autoSpaceDE w:val="0"/>
        <w:widowControl/>
        <w:spacing w:line="245" w:lineRule="auto" w:before="372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Os novos valores das tarifas, decorrentes das alterações da Revisão Tarifária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Extraordinária, somente serão praticados pelo prestador após 30 (trinta) dias da publicação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específica emitida pela ARES-PCJ, em sua integra, na imprensa oficial ou em jornal de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grande circulação do município do prestador,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666" w:after="0"/>
        <w:ind w:left="2592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SISTEMA DE GESTÃO REGULATÓRIA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33. Os prestadores dos serviços de saneamento deverão utilizar o Sistema de Gestão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Regulatória, disponibilizado pela ARES-PCJ, para comunicação periódica de informações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econômico-contábeis, encaminhando mensalmente as informações listadas abaixo: </w:t>
      </w:r>
    </w:p>
    <w:p>
      <w:pPr>
        <w:autoSpaceDN w:val="0"/>
        <w:autoSpaceDE w:val="0"/>
        <w:widowControl/>
        <w:spacing w:line="245" w:lineRule="auto" w:before="346" w:after="0"/>
        <w:ind w:left="284" w:right="5328" w:hanging="284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Prefeituras: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Demonstração de Resultado;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Demonstração dos Fluxos de Caixa;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Dados de Energia Elétrica;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Dados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Dados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Dados de Colaboradores;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Dados Comerciais. </w:t>
      </w:r>
    </w:p>
    <w:p>
      <w:pPr>
        <w:autoSpaceDN w:val="0"/>
        <w:autoSpaceDE w:val="0"/>
        <w:widowControl/>
        <w:spacing w:line="245" w:lineRule="auto" w:before="346" w:after="0"/>
        <w:ind w:left="284" w:right="3888" w:hanging="284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Autarquias, Empresas Públicas e de Economia Mista: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Balancete Contábil;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Demonstração de Resultado;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Demonstração dos Fluxos de Caixa;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Dados de Energia Elétrica;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Dados de Abastecimento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Dados de Esgotamento Sanitário;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Dados de Colaboradores;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Dados Comerciais.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O prazo para envio das informações mensais no Sistema de Gestão Regulatória é até o último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 do mês subsequente à divulgação, publicação ou conhecimento dos dados.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O Balancete Contábil e a Demonstração de Resultado do Exercício devem ser apresentados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versão analítica, ou seja, as contas devem estar abertas até o nível que recebe o lançamento.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3º O envio dos dados por meio do Sistema de Gestão Regulatória não dispensa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encaminhamento de relatórios em PDF, para validação, quando solicitados pela ARES-PCJ. </w:t>
      </w:r>
    </w:p>
    <w:p>
      <w:pPr>
        <w:autoSpaceDN w:val="0"/>
        <w:autoSpaceDE w:val="0"/>
        <w:widowControl/>
        <w:spacing w:line="245" w:lineRule="auto" w:before="642" w:after="0"/>
        <w:ind w:left="2304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DOS PROCESSOS DE FISCALIZAÇÃO E SANÇÃO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34. Ao longo do Ciclo Tarifário, o prestador de serviços ficará sujeito aos procedimentos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Monitoramento Econômico-Contábil da ARES-PCJ, que têm por objetivo avaliar o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35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adequado fornecimento de informações regulatórias e as condições de realização das projeções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processo de revisão tarifária.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35. A ARES-PCJ poderá solicitar ao prestador, a qualquer tempo, informações necessárias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suas atividades regulatórias, concedendo prazo de 10 (dez) dias úteis para o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cumprimento, sendo que o prazo pode ser prorrogado por igual período, uma única vez,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do Art. 25,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A omissão do prestador dos serviços na apresentação de dados periódicos ou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exigido, caracteriza descumprimento da obrigação de fornecer informações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ARES-PCJ, cabendo sanções previstas na Resolução ARES-PCJ nº 71/2014. </w:t>
      </w:r>
    </w:p>
    <w:p>
      <w:pPr>
        <w:autoSpaceDN w:val="0"/>
        <w:autoSpaceDE w:val="0"/>
        <w:widowControl/>
        <w:spacing w:line="245" w:lineRule="auto" w:before="642" w:after="0"/>
        <w:ind w:left="2880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DISPOSIÇÕES TRANSITÓRIAS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Art. 37. A presente Resolução aplica-se aos processos de Revisão e Reajuste Tarifários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conformidade ao estabelecido na Agenda Regulatória de estabelecimento dos ciclos tarifários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prestadores de serviços abrangidos por essa norma.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1º Aos prestadores cujo Ciclo Tarifário estabelecido na Agenda Regulatória tenha início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prazos superior a 12 (doze) meses da entrada e vigor desta Resolução, aplicar-se-á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transitoriamente o disposto na Resolução ARES-PCJ nº 115/2015.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§ 2º Após o início do Ciclo Tarifário de todos os prestadores de serviços em conformidade com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 xml:space="preserve">esta Resolução e com a Agenda Regulatória, ficará revogada a Resolução ARES-PCJ nº 115/2015.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37. A presente Resolução aplica-se aos processos de Revisão e Reajuste Tarifários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à programação da Coordenadoria de Contabilidade Regulatória da ARES-PCJ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 dos ciclos tarifários dos prestadores de serviços abrangidos por essa norma.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(</w:t>
      </w:r>
      <w:r>
        <w:rPr>
          <w:rFonts w:ascii="Calibri" w:hAnsi="Calibri" w:eastAsia="Calibri"/>
          <w:b w:val="0"/>
          <w:i/>
          <w:color w:val="000000"/>
          <w:sz w:val="24"/>
        </w:rPr>
        <w:t>Redação dada pela Resolução ARES-PCJ nº 550, de 26/03/2024)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1º Aos prestadores cujo Ciclo Tarifário estabelecido pela programação da Coordenadoria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Contabilidade Regulatória tenha início em prazo superior a 12 (doze) meses da entrada e vigor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Resolução, aplicar-se-á transitoriamente o disposto na Resolução ARES-PCJ nº 115/2015.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(</w:t>
      </w:r>
      <w:r>
        <w:rPr>
          <w:rFonts w:ascii="Calibri" w:hAnsi="Calibri" w:eastAsia="Calibri"/>
          <w:b w:val="0"/>
          <w:i/>
          <w:color w:val="000000"/>
          <w:sz w:val="24"/>
        </w:rPr>
        <w:t>Redação dada pela Resolução ARES-PCJ nº 550, de 26/03/2024)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2º Após o início do Ciclo Tarifário de todos os prestadores de serviços em conformidade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 Resolução e com a programação da Coordenadoria de Contabilidade Regulatória, ficará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>revogada a Resolução ARES-PCJ nº 115/2015. (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Redação dada pela Resolução ARES-PCJ nº 550, de </w:t>
      </w:r>
      <w:r>
        <w:rPr>
          <w:rFonts w:ascii="Calibri" w:hAnsi="Calibri" w:eastAsia="Calibri"/>
          <w:b w:val="0"/>
          <w:i/>
          <w:color w:val="000000"/>
          <w:sz w:val="24"/>
        </w:rPr>
        <w:t>26/03/2024)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8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350" w:right="10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1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DAS DISPOSIÇÕES FINAIS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38. Na contagem dos prazos, excluir-se-á o dia do início e incluir-se-á o dia do vencimento.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A ARES-PCJ, para efeito de estudos e cálculos dos índices de reajustes ou revisões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utilizará 4 (quatro) números decimais (décimo de milésimo)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apresentará os resultados em 2 (dois) números decimais (centésimo), observada a regra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matemática para o arredondamento dos valores. </w:t>
      </w:r>
    </w:p>
    <w:p>
      <w:pPr>
        <w:autoSpaceDN w:val="0"/>
        <w:autoSpaceDE w:val="0"/>
        <w:widowControl/>
        <w:spacing w:line="245" w:lineRule="auto" w:before="346" w:after="0"/>
        <w:ind w:left="0" w:right="3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40. O prestador de serviços de saneamento de município associado à ARES-PCJ, para ter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 ao processo de Revisão Tarifária, Reajuste Tarifário e Revisão Tarifária Extraordinária,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estar adimplente com o pagamento da Taxa de Regulação e Fiscalização da ARES-PCJ,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e de outros valores devidos.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 Esta Resolução entrará em vigor partir de 1º de julho de 2022, revogando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93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4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352" w:right="104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435, DE 01 DE JUNHO DE 2022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1 - METODOLOGIA DE CÁLCULO DO ÍNDICE DE REAJUSTE E REVISÃO DAS TARIFAS DE ÁGUA 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ESGOTO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 – TERMINOLOGIAS PARA REAJUSTES E REVISÕES TARIFÁRIAS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Inicialmente serão apresentados alguns conceitos importantes para análise do cálculo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reajuste ou revisão Tarifária, sendo: Gastos de Exploração, Provisões, Receitas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Irrecuperáveis, Amortizações de Dívidas, Investimentos, Receitas Tarifárias, Recursos Externos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Faturado.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1.1.1 - GASTOS DE EXPLORAÇÃO: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Gastos de Exploração correspondem aos gastos diretos e indiretos necessários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água e esgoto, incluindo os gastos de operação, manutenção e gestão,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gastos comerciais, administrativos, fiscais e tributários.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Contabilidade Pública abrange os gastos e restos a pagar não processados liquidados,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correntes ou de custeio, excluídas as liquidações referentes ao serviço da dívida (amortizações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encargos financeiros) relativos aos investimentos. </w:t>
      </w:r>
    </w:p>
    <w:p>
      <w:pPr>
        <w:autoSpaceDN w:val="0"/>
        <w:autoSpaceDE w:val="0"/>
        <w:widowControl/>
        <w:spacing w:line="197" w:lineRule="auto" w:before="346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Os Gastos de Exploração são divididos da seguinte maneira: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Pessoal: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Abrange os gastos regulatórios com pessoal próprio, inclusive diretores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mandatários, relativas à prestação dos serviços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Correspondem aos salários, encargos, gratificações, benefícios e outros componentes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à folha de pagamento do pessoal direta e indiretamente envolvido com 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nas atividades de gestão, operação e manutenção.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Materiais: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 os gastos regulatórios com materiais relativos à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 esgotamento sanitário, nas atividades de gestão, operação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manutenção. Para análise no reajuste ou revisão tarifária, os materiais se dividem em: </w:t>
      </w:r>
    </w:p>
    <w:p>
      <w:pPr>
        <w:autoSpaceDN w:val="0"/>
        <w:autoSpaceDE w:val="0"/>
        <w:widowControl/>
        <w:spacing w:line="245" w:lineRule="auto" w:before="296" w:after="0"/>
        <w:ind w:left="2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Material de Processo: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 todos os gastos com produtos químicos usados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processos de tratamento de água e nos processos de tratamento do esgoto sanitário. </w:t>
      </w:r>
    </w:p>
    <w:p>
      <w:pPr>
        <w:autoSpaceDN w:val="0"/>
        <w:autoSpaceDE w:val="0"/>
        <w:widowControl/>
        <w:spacing w:line="245" w:lineRule="auto" w:before="296" w:after="0"/>
        <w:ind w:left="284" w:right="22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Material para Manutenção e Conservação: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 todos os gastos com materiais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relativos manutenção e conservação de bens móveis e imóveis utilizados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abastecimento de água e nos processos de afastamento e tratamento do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5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35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48" w:after="0"/>
        <w:ind w:left="284" w:right="26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Combustíveis e Lubrificantes: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 todos os gastos com combustíveis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lubrificantes relativos à prestação dos serviços de abastecimento de água e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afastamento e tratamento do esgoto sanitário. </w:t>
      </w:r>
    </w:p>
    <w:p>
      <w:pPr>
        <w:autoSpaceDN w:val="0"/>
        <w:autoSpaceDE w:val="0"/>
        <w:widowControl/>
        <w:spacing w:line="245" w:lineRule="auto" w:before="296" w:after="0"/>
        <w:ind w:left="284" w:right="26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Demais Materiais de Consumo: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 todos os gastos com materiais relativos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abastecimento de água e de esgotamento sanitário,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especificados anteriormente.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c) Serviços de Terceiros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Corresponde aos gastos regulatórios com a prestação de serviços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terceiros, relativas ao abastecimento de água e esgotamento sanitário nas atividades de gestão,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manutenção. Devem ser incluídos neste item os serviços de segurança, limpeza,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telefonia, leitura e emissão de contas, informática e processamento de dados, consultoria,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assessoria, manutenção e outros, desde que sejam realizados por terceiros. Para análise no </w:t>
      </w:r>
      <w:r>
        <w:rPr>
          <w:rFonts w:ascii="Calibri" w:hAnsi="Calibri" w:eastAsia="Calibri"/>
          <w:b w:val="0"/>
          <w:i w:val="0"/>
          <w:color w:val="000000"/>
          <w:sz w:val="24"/>
        </w:rPr>
        <w:t>reajuste ou revisão tarifária, os Serviços de Terceiros se dividem em:</w:t>
      </w:r>
    </w:p>
    <w:p>
      <w:pPr>
        <w:autoSpaceDN w:val="0"/>
        <w:autoSpaceDE w:val="0"/>
        <w:widowControl/>
        <w:spacing w:line="245" w:lineRule="auto" w:before="296" w:after="0"/>
        <w:ind w:left="284" w:right="20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Serviços de Terceiros (Manutenção e Conservação):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 todos os gastos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 por terceiros, relativas manutenção e conservação de bens móveis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usados prestação dos serviços de abastecimento de água e de esgotamento sanitário. </w:t>
      </w:r>
    </w:p>
    <w:p>
      <w:pPr>
        <w:autoSpaceDN w:val="0"/>
        <w:autoSpaceDE w:val="0"/>
        <w:widowControl/>
        <w:spacing w:line="245" w:lineRule="auto" w:before="298" w:after="0"/>
        <w:ind w:left="284" w:right="26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Aluguéis: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 todos os gastos com a aluguéis relativos a móveis e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usados nas atividades de prestação dos serviços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sanitário. </w:t>
      </w:r>
    </w:p>
    <w:p>
      <w:pPr>
        <w:autoSpaceDN w:val="0"/>
        <w:autoSpaceDE w:val="0"/>
        <w:widowControl/>
        <w:spacing w:line="245" w:lineRule="auto" w:before="296" w:after="0"/>
        <w:ind w:left="2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Parceira Privada: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 todos os gastos com prestação de serviços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realizado por Parceiras Privadas.</w:t>
      </w:r>
    </w:p>
    <w:p>
      <w:pPr>
        <w:autoSpaceDN w:val="0"/>
        <w:autoSpaceDE w:val="0"/>
        <w:widowControl/>
        <w:spacing w:line="245" w:lineRule="auto" w:before="296" w:after="0"/>
        <w:ind w:left="284" w:right="26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Demais Serviços de Terceiros: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 todos os demais os gastos com 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 por terceiros, relativos à prestação dos serviços de abastecimento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não especificados anteriormente.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d) Energia Elétrica: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 os gastos com energia elétrica relativas à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sanitário, nas atividades de gestão, operação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e) Demais Gastos: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 gastos regulatórios de natureza tributária (tributos sobre o lucro,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demais tributos não incidentes sobre o faturamento), financeira (exceto relativas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financiamento de investimentos), bem como outros gastos não incluídos nos itens anteriores,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referentes à prestação dos serviços de abastecimento de água e esgotamento sanitário,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 de gestão, operação e manutenção. Não inclui despesas com pagamento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precatórios.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1.1.2 - AMORTIZAÇÃO DE DÍVIDAS, PROVISÕES E PRECATÓRIOS: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Compreendem os gastos com provisões, amortização de dívidas e receitas irrecuperáveis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relativas à prestação dos serviços de abastecimento de água e esgotamento sanitário.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4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Amortização de Dívidas: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aos gastos realizados para a redução ou extinção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dívidas decorrentes de financiamentos ou empréstimos. Devem ser incluídos os juros e encargos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as parcelas do principal. </w:t>
      </w:r>
    </w:p>
    <w:p>
      <w:pPr>
        <w:autoSpaceDN w:val="0"/>
        <w:autoSpaceDE w:val="0"/>
        <w:widowControl/>
        <w:spacing w:line="245" w:lineRule="auto" w:before="346" w:after="0"/>
        <w:ind w:left="4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Provisões: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Correspondem às perdas ou expectativas de perdas de ativos ou a cobertura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a desembolsar já considerados certos ou com boa probabilidade de ocorrência. É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 para cobertura da diminuição do valor de realização ou de recuperação de um ativo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para a existência de um passivo, cuja ocorrência provável possa ser confirmada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análise de possíveis eventos futuros e/ou da experiência passada. Devem ser incluídos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decorrentes das perdas de Faturamento em função do não pagamento das contas,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“Receitas Irrecuperáveis”. </w:t>
      </w:r>
    </w:p>
    <w:p>
      <w:pPr>
        <w:autoSpaceDN w:val="0"/>
        <w:autoSpaceDE w:val="0"/>
        <w:widowControl/>
        <w:spacing w:line="245" w:lineRule="auto" w:before="300" w:after="0"/>
        <w:ind w:left="288" w:right="24" w:firstLine="0"/>
        <w:jc w:val="both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Receitas Irrecuperáveis: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 das receitas faturadas com os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 com grandes probabilidades não serem arrecadadas devido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inadimplência dos usuários. Para fins de cálculo do Custo Médio Atual, pode compor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contabilidade do prestador de serviços sob uma modalidade específica de Provisão, como,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exemplo, “Perdas Estimadas em Créditos de Liquidação Duvidosa”. </w:t>
      </w:r>
    </w:p>
    <w:p>
      <w:pPr>
        <w:autoSpaceDN w:val="0"/>
        <w:autoSpaceDE w:val="0"/>
        <w:widowControl/>
        <w:spacing w:line="245" w:lineRule="auto" w:before="346" w:after="0"/>
        <w:ind w:left="4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c) Precatórios, Sentenças e Acordos Judiciais (PSA):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gastos decorrentes de precatórios,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sentenças e acordos judiciais, passíveis de avaliação de eficiência administrativa e pertinência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regulatória. </w:t>
      </w:r>
    </w:p>
    <w:p>
      <w:pPr>
        <w:autoSpaceDN w:val="0"/>
        <w:autoSpaceDE w:val="0"/>
        <w:widowControl/>
        <w:spacing w:line="197" w:lineRule="auto" w:before="642" w:after="0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1.1.3 - INVESTIMENTOS: </w:t>
      </w:r>
    </w:p>
    <w:p>
      <w:pPr>
        <w:autoSpaceDN w:val="0"/>
        <w:autoSpaceDE w:val="0"/>
        <w:widowControl/>
        <w:spacing w:line="245" w:lineRule="auto" w:before="346" w:after="298"/>
        <w:ind w:left="4" w:right="26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considerados como Investimentos, do ponto de vista da regulação, as intervenções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água e esgoto, inclusive os juros capitalizados e contabilizados em obras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andamento, de acordo com o Plano de Investimentos (PI) Consolidado,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34"/>
      </w:tblGrid>
      <w:tr>
        <w:trPr>
          <w:trHeight w:hRule="exact" w:val="308"/>
        </w:trPr>
        <w:tc>
          <w:tcPr>
            <w:tcW w:type="dxa" w:w="935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7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OBRAS DE ÁGUA </w:t>
            </w:r>
          </w:p>
        </w:tc>
      </w:tr>
      <w:tr>
        <w:trPr>
          <w:trHeight w:hRule="exact" w:val="314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OBRAS DE ESGOTO </w:t>
            </w:r>
          </w:p>
        </w:tc>
      </w:tr>
      <w:tr>
        <w:trPr>
          <w:trHeight w:hRule="exact" w:val="2072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Execução, implantação, ampliação, construção e reforma de redes coletoras, prolongamentos,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coletores-tronco, emissários, interceptores, estações elevatórias, estações de tratamento (ETE)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dispositivos de destinação final de esgoto sanitário, incluindo tratamento e disposição final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lodos. </w:t>
            </w:r>
          </w:p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ou troca de redes e ramais de esgoto. </w:t>
            </w:r>
          </w:p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Aquisição, execução, implantação, ampliação, construção, implantação e instalação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macromedidores de esgoto.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26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1906" w:h="16838"/>
          <w:pgMar w:top="350" w:right="1058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50"/>
        <w:ind w:left="0" w:right="295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386"/>
      </w:tblGrid>
      <w:tr>
        <w:trPr>
          <w:trHeight w:hRule="exact" w:val="308"/>
        </w:trPr>
        <w:tc>
          <w:tcPr>
            <w:tcW w:type="dxa" w:w="9356"/>
            <w:tcBorders>
              <w:start w:sz="4.0" w:val="single" w:color="#000000"/>
              <w:top w:sz="4.0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PROJETOS </w:t>
            </w:r>
          </w:p>
        </w:tc>
      </w:tr>
      <w:tr>
        <w:trPr>
          <w:trHeight w:hRule="exact" w:val="2950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Projetos de execução, implantação, ampliação, construção e reforma de sistemas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captações superficiais ou subterrâneas, adutoras, estações de produção/tratamento (ETA),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reservatórios, estações elevatórias e redes, reforços e ramais de distribuição de água, incluindo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e disposição final de lodos. </w:t>
            </w:r>
          </w:p>
          <w:p>
            <w:pPr>
              <w:autoSpaceDN w:val="0"/>
              <w:autoSpaceDE w:val="0"/>
              <w:widowControl/>
              <w:spacing w:line="245" w:lineRule="auto" w:before="54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Projetos de execução, implantação, ampliação, construção e reforma de redes coletoras,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prolongamentos, coletores-tronco, emissários, interceptores, estações elevatórias, estações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(ETE) e dispositivos de destinação final de esgoto sanitário, incluindo tratamento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disposição final de lodos. </w:t>
            </w:r>
          </w:p>
          <w:p>
            <w:pPr>
              <w:autoSpaceDN w:val="0"/>
              <w:autoSpaceDE w:val="0"/>
              <w:widowControl/>
              <w:spacing w:line="245" w:lineRule="auto" w:before="52" w:after="0"/>
              <w:ind w:left="64" w:right="259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Elaboração ou revisão de Planos Diretores de Perdas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Elaboração ou revisão de Planos Municipais de Saneamento Básico </w:t>
            </w:r>
          </w:p>
        </w:tc>
      </w:tr>
      <w:tr>
        <w:trPr>
          <w:trHeight w:hRule="exact" w:val="312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MÁQUINAS E EQUIPAMENTOS </w:t>
            </w:r>
          </w:p>
        </w:tc>
      </w:tr>
      <w:tr>
        <w:trPr>
          <w:trHeight w:hRule="exact" w:val="2364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16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Aquisição, execução, ampliação e/ou construção de dispositivos e tecnologias de médio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grande porte com a finalidade de executar atividades específicas e com carga de trabalho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elevada e contínua, tais como chaves softstart, conjuntos motobomba, equipamentos contra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fraudes em hidrômetros (incluindo o fornecimento de hidrômetros, quando dissociado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instalação por equipe própria ou terceira), equipamentos de combate às perdas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geral, inversores de frequência, peneira rotativa, sistemas automáticos de cloro e/ou flúor,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data-loggers de pressão e/ou vazão, bombas e válvulas de controle. Aqui entram caminhões,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tratores e retroescavadeiras, mas não veículos leves ou de passeio. </w:t>
            </w:r>
          </w:p>
        </w:tc>
      </w:tr>
      <w:tr>
        <w:trPr>
          <w:trHeight w:hRule="exact" w:val="314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MÓVEIS E UTENSÍLIOS </w:t>
            </w:r>
          </w:p>
        </w:tc>
      </w:tr>
      <w:tr>
        <w:trPr>
          <w:trHeight w:hRule="exact" w:val="604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 e instalação de infraestrutura (bens móveis) destinados aos sistemas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ou para atendimento aos usuários. </w:t>
            </w:r>
          </w:p>
        </w:tc>
      </w:tr>
      <w:tr>
        <w:trPr>
          <w:trHeight w:hRule="exact" w:val="316"/>
        </w:trPr>
        <w:tc>
          <w:tcPr>
            <w:tcW w:type="dxa" w:w="9356"/>
            <w:tcBorders>
              <w:start w:sz="4.0" w:val="single" w:color="#000000"/>
              <w:top w:sz="7.199999999999818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INSTALAÇÕES </w:t>
            </w:r>
          </w:p>
        </w:tc>
      </w:tr>
      <w:tr>
        <w:trPr>
          <w:trHeight w:hRule="exact" w:val="1484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Implantação, instalação ou substituição de dispositivos que demandem mão de obra específica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o início de sua adequada operação, tais como chaves softstart, conjuntos motobomba,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equipamentos para fraudes em hidrômetros, equipamentos de combate às perdas em geral,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inversores de frequência, peneira rotativa, sistemas automáticos de cloro e/ou flúor, ar-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condicionado, data-loggers de pressão e/ou vazão, bombas e válvulas de controle. </w:t>
            </w:r>
          </w:p>
        </w:tc>
      </w:tr>
      <w:tr>
        <w:trPr>
          <w:trHeight w:hRule="exact" w:val="314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– EQUIPAMENTOS PARA PROCESSAMENTO DE DADOS </w:t>
            </w:r>
          </w:p>
        </w:tc>
      </w:tr>
      <w:tr>
        <w:trPr>
          <w:trHeight w:hRule="exact" w:val="1190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Execução, ampliação, construção, implantação e instalação de dispositivos e tecnologias 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visem a automação e/ou telemetria para controle operacional em unidades dos sistemas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abastecimento de água e esgotamento sanitário e que proporcionem melhoria na eficiência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prestado. </w:t>
            </w:r>
          </w:p>
        </w:tc>
      </w:tr>
      <w:tr>
        <w:trPr>
          <w:trHeight w:hRule="exact" w:val="314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7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SOFTWARES E APLICATIVOS </w:t>
            </w:r>
          </w:p>
        </w:tc>
      </w:tr>
      <w:tr>
        <w:trPr>
          <w:trHeight w:hRule="exact" w:val="314"/>
        </w:trPr>
        <w:tc>
          <w:tcPr>
            <w:tcW w:type="dxa" w:w="9356"/>
            <w:tcBorders>
              <w:start w:sz="4.0" w:val="single" w:color="#000000"/>
              <w:top w:sz="7.199999999999818" w:val="single" w:color="#000000"/>
              <w:end w:sz="3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Softwares e aplicativos destinados à operação dos sistemas de água e esgoto. </w:t>
            </w:r>
          </w:p>
        </w:tc>
      </w:tr>
      <w:tr>
        <w:trPr>
          <w:trHeight w:hRule="exact" w:val="314"/>
        </w:trPr>
        <w:tc>
          <w:tcPr>
            <w:tcW w:type="dxa" w:w="9356"/>
            <w:tcBorders>
              <w:start w:sz="4.0" w:val="single" w:color="#000000"/>
              <w:top w:sz="7.199999999999818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FERRAMENTAS </w:t>
            </w:r>
          </w:p>
        </w:tc>
      </w:tr>
      <w:tr>
        <w:trPr>
          <w:trHeight w:hRule="exact" w:val="604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Ferramentas, máquinas e implementos de pequeno porte e de uso rotineiro destinados aos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sistemas de água e esgoto e/ou manutenção adequada dos mesmos. </w:t>
            </w:r>
          </w:p>
        </w:tc>
      </w:tr>
      <w:tr>
        <w:trPr>
          <w:trHeight w:hRule="exact" w:val="312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BENFEITORIAS E ATIVIDADES ACESSÓRIAS </w:t>
            </w:r>
          </w:p>
        </w:tc>
      </w:tr>
      <w:tr>
        <w:trPr>
          <w:trHeight w:hRule="exact" w:val="608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Benfeitorias e atividades acessórias nos sistemas de água e esgoto, previstas no PMSB - Plano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de Saneamento Básico, em Planos Diretores ou Estudos de Concepção. </w:t>
            </w:r>
          </w:p>
        </w:tc>
      </w:tr>
      <w:tr>
        <w:trPr>
          <w:trHeight w:hRule="exact" w:val="312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TERRENOS </w:t>
            </w:r>
          </w:p>
        </w:tc>
      </w:tr>
      <w:tr>
        <w:trPr>
          <w:trHeight w:hRule="exact" w:val="602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 de terrenos considerados necessários a realização de obra em sistemas de água,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esgoto, atendimento ao público, almoxarifado, sede administrativa. </w:t>
            </w:r>
          </w:p>
        </w:tc>
      </w:tr>
    </w:tbl>
    <w:p>
      <w:pPr>
        <w:autoSpaceDN w:val="0"/>
        <w:tabs>
          <w:tab w:pos="9078" w:val="left"/>
        </w:tabs>
        <w:autoSpaceDE w:val="0"/>
        <w:widowControl/>
        <w:spacing w:line="194" w:lineRule="auto" w:before="298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sectPr>
          <w:pgSz w:w="11906" w:h="16838"/>
          <w:pgMar w:top="350" w:right="1106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50"/>
        <w:ind w:left="0" w:right="29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30"/>
      </w:tblGrid>
      <w:tr>
        <w:trPr>
          <w:trHeight w:hRule="exact" w:val="304"/>
        </w:trPr>
        <w:tc>
          <w:tcPr>
            <w:tcW w:type="dxa" w:w="935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EDIFICAÇÕES </w:t>
            </w:r>
          </w:p>
        </w:tc>
      </w:tr>
      <w:tr>
        <w:trPr>
          <w:trHeight w:hRule="exact" w:val="598"/>
        </w:trPr>
        <w:tc>
          <w:tcPr>
            <w:tcW w:type="dxa" w:w="9356"/>
            <w:tcBorders>
              <w:start w:sz="4.0" w:val="single" w:color="#000000"/>
              <w:top w:sz="4.0" w:val="single" w:color="#000000"/>
              <w:end w:sz="3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Aquisição de edifícios considerados necessários a realização de obras em sistemas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esgoto, atendimento ao público, almoxarifado, sede. </w:t>
            </w:r>
          </w:p>
        </w:tc>
      </w:tr>
      <w:tr>
        <w:trPr>
          <w:trHeight w:hRule="exact" w:val="316"/>
        </w:trPr>
        <w:tc>
          <w:tcPr>
            <w:tcW w:type="dxa" w:w="9356"/>
            <w:tcBorders>
              <w:start w:sz="4.0" w:val="single" w:color="#000000"/>
              <w:top w:sz="7.2000000000000455" w:val="single" w:color="#000000"/>
              <w:end w:sz="3.199999999999818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VEÍCULOS </w:t>
            </w:r>
          </w:p>
        </w:tc>
      </w:tr>
      <w:tr>
        <w:trPr>
          <w:trHeight w:hRule="exact" w:val="604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Veículos destinados à prestação dos serviços nos sistemas de água e esgoto, não contemplados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como Máquinas e Equipamentos </w:t>
            </w:r>
          </w:p>
        </w:tc>
      </w:tr>
      <w:tr>
        <w:trPr>
          <w:trHeight w:hRule="exact" w:val="314"/>
        </w:trPr>
        <w:tc>
          <w:tcPr>
            <w:tcW w:type="dxa" w:w="9356"/>
            <w:tcBorders>
              <w:start w:sz="4.0" w:val="single" w:color="#000000"/>
              <w:top w:sz="8.0" w:val="single" w:color="#000000"/>
              <w:end w:sz="3.199999999999818" w:val="single" w:color="#000000"/>
              <w:bottom w:sz="7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PLANO DE INVESTIMENTOS (PI) EM BENFEITORIAS EM IMÓVEIS DE TERCEIROS </w:t>
            </w:r>
          </w:p>
        </w:tc>
      </w:tr>
      <w:tr>
        <w:trPr>
          <w:trHeight w:hRule="exact" w:val="602"/>
        </w:trPr>
        <w:tc>
          <w:tcPr>
            <w:tcW w:type="dxa" w:w="9356"/>
            <w:tcBorders>
              <w:start w:sz="4.0" w:val="single" w:color="#000000"/>
              <w:top w:sz="7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Benfeitorias em bens imóveis não afetos para ampliações dos sistemas de água 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previstas no Plano Municipal de Saneamento Básico </w:t>
            </w:r>
          </w:p>
        </w:tc>
      </w:tr>
    </w:tbl>
    <w:p>
      <w:pPr>
        <w:autoSpaceDN w:val="0"/>
        <w:autoSpaceDE w:val="0"/>
        <w:widowControl/>
        <w:spacing w:line="87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30"/>
      </w:tblGrid>
      <w:tr>
        <w:trPr>
          <w:trHeight w:hRule="exact" w:val="310"/>
        </w:trPr>
        <w:tc>
          <w:tcPr>
            <w:tcW w:type="dxa" w:w="9356"/>
            <w:tcBorders>
              <w:start w:sz="4.0" w:val="single" w:color="#000000"/>
              <w:top w:sz="4.0" w:val="single" w:color="#000000"/>
              <w:end w:sz="3.199999999999818" w:val="single" w:color="#000000"/>
              <w:bottom w:sz="7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NÃO FIGURAM COMO INVESTIMENTOS REGULATÓRIOS </w:t>
            </w:r>
          </w:p>
        </w:tc>
      </w:tr>
      <w:tr>
        <w:trPr>
          <w:trHeight w:hRule="exact" w:val="1480"/>
        </w:trPr>
        <w:tc>
          <w:tcPr>
            <w:tcW w:type="dxa" w:w="9356"/>
            <w:tcBorders>
              <w:start w:sz="4.0" w:val="single" w:color="#000000"/>
              <w:top w:sz="7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Programa de Coleta Seletiva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Resíduos sólidos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Drenagem e pavimentação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Baias + Aterro RCC + Barracão (Resíduos)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Cuidados com fauna e flora, arborização urbana, manutenção de praças, limpeza urbana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4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Observação: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Casos excepcionais e não previstos no Plano Municipal de Saneamento Básico,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Planos Diretores ou Estudos de Concepção devem ser acompanhados de justificativa formal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 dos serviços, acompanhada de cronograma de revisão do PMSB, se aplicável. </w:t>
      </w:r>
    </w:p>
    <w:p>
      <w:pPr>
        <w:autoSpaceDN w:val="0"/>
        <w:autoSpaceDE w:val="0"/>
        <w:widowControl/>
        <w:spacing w:line="338" w:lineRule="auto" w:before="346" w:after="0"/>
        <w:ind w:left="4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revisões tarifárias, os investimentos serão considerados sob duas óticas: </w:t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>Investimentos com Recursos Próprios (IRP)</w:t>
      </w:r>
      <w:r>
        <w:rPr>
          <w:rFonts w:ascii="Calibri" w:hAnsi="Calibri" w:eastAsia="Calibri"/>
          <w:b w:val="0"/>
          <w:i w:val="0"/>
          <w:color w:val="000000"/>
          <w:sz w:val="24"/>
        </w:rPr>
        <w:t>: Quando realizados com recursos próprios.</w:t>
      </w:r>
    </w:p>
    <w:p>
      <w:pPr>
        <w:autoSpaceDN w:val="0"/>
        <w:autoSpaceDE w:val="0"/>
        <w:widowControl/>
        <w:spacing w:line="245" w:lineRule="auto" w:before="346" w:after="0"/>
        <w:ind w:left="4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Investimentos com Recursos Externos (IRX): </w:t>
      </w:r>
      <w:r>
        <w:rPr>
          <w:rFonts w:ascii="Calibri" w:hAnsi="Calibri" w:eastAsia="Calibri"/>
          <w:b w:val="0"/>
          <w:i w:val="0"/>
          <w:color w:val="000000"/>
          <w:sz w:val="24"/>
        </w:rPr>
        <w:t>Quando realizados com recursos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fontes externas, nas formas de empréstimos, financiamentos, transferências ou doações,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reembolsáveis ou não. </w:t>
      </w:r>
    </w:p>
    <w:p>
      <w:pPr>
        <w:autoSpaceDN w:val="0"/>
        <w:tabs>
          <w:tab w:pos="856" w:val="left"/>
        </w:tabs>
        <w:autoSpaceDE w:val="0"/>
        <w:widowControl/>
        <w:spacing w:line="288" w:lineRule="auto" w:before="640" w:after="0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1.1.4 - RECEITA TARIFÁRIA (FATURAMENTO):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aos valores faturados no período, relativos aos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esgotamento sanitário. Devem ser incluídos apenas os valores correspondentes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cobertos com a tarifa de água e esgoto. </w:t>
      </w:r>
    </w:p>
    <w:p>
      <w:pPr>
        <w:autoSpaceDN w:val="0"/>
        <w:autoSpaceDE w:val="0"/>
        <w:widowControl/>
        <w:spacing w:line="245" w:lineRule="auto" w:before="346" w:after="0"/>
        <w:ind w:left="4" w:right="20" w:firstLine="852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 neste tópico os itens de cancelamentos e abatimentos que refletem na redução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arrecadação do Prestador de serviços, bem como os tributos incidentes sobre o faturamento.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Estes itens deverão ser cadastrados separados dos valores faturados. </w:t>
      </w:r>
    </w:p>
    <w:p>
      <w:pPr>
        <w:autoSpaceDN w:val="0"/>
        <w:tabs>
          <w:tab w:pos="856" w:val="left"/>
        </w:tabs>
        <w:autoSpaceDE w:val="0"/>
        <w:widowControl/>
        <w:spacing w:line="245" w:lineRule="auto" w:before="34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devem ser informados por categoria, sendo: Residencial, Comercial,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Industrial, Pública, Residencial Social e demais categorias. </w:t>
      </w:r>
    </w:p>
    <w:p>
      <w:pPr>
        <w:autoSpaceDN w:val="0"/>
        <w:tabs>
          <w:tab w:pos="9078" w:val="left"/>
        </w:tabs>
        <w:autoSpaceDE w:val="0"/>
        <w:widowControl/>
        <w:spacing w:line="194" w:lineRule="auto" w:before="806" w:after="0"/>
        <w:ind w:left="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sectPr>
          <w:pgSz w:w="11906" w:h="16838"/>
          <w:pgMar w:top="350" w:right="1062" w:bottom="54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1.1.5 - RECURSOS EXTERNOS PARA INVESTIMENTOS: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Abrange o total de recursos destinados aos investimentos em modernização ou expansão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e esgotamento sanitário proveniente de fontes externas, </w:t>
      </w:r>
      <w:r>
        <w:rPr>
          <w:rFonts w:ascii="Calibri" w:hAnsi="Calibri" w:eastAsia="Calibri"/>
          <w:b w:val="0"/>
          <w:i w:val="0"/>
          <w:color w:val="000000"/>
          <w:sz w:val="24"/>
        </w:rPr>
        <w:t>nas formas de empréstimos, financiamentos, transferências ou doações, reembolsáveis ou não.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1.1.6 – OUTRAS RECEITAS: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Abrange todas os recursos obtidas pelo prestador dos serviços que não são oriundos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de esgoto, inclusive receitas comerciais, administrativas, financeiras além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repasses e transferências feitos por outros ao prestador dos serviços, quando não destinados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1.1.7 - RECURSOS DE DISPONIBILIDADE FINANCEIRA: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Recursos financeiros que compõem o saldo de caixa e equivalentes de caixa excluídos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recursos vinculados de fontes externas, disponíveis para integralização na tarifa.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os Recursos de Disponibilidade Financeira podem ter efeito líquido positivo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o cálculo tarifário, condicionados à avaliação da capacidade de enfrentamento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contingências por parte do prestador de serviços.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1.1.8 – VARIAÇÃO TARIFÁRIA A COMPENSAR: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56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 os valores já obtidos ou a obter em função de alterações nos cronogramas </w:t>
      </w:r>
      <w:r>
        <w:rPr>
          <w:rFonts w:ascii="Calibri" w:hAnsi="Calibri" w:eastAsia="Calibri"/>
          <w:b w:val="0"/>
          <w:i w:val="0"/>
          <w:color w:val="000000"/>
          <w:sz w:val="24"/>
        </w:rPr>
        <w:t>e/ou demais eventos que tenham gerado mudanças substanciais na situação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>financeira do prestador com relação às previsões feitas quando do reajuste tarifário anterior.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Assim, por exemplo, recursos já obtidos para determinados gastos, previstos quando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tarifária anterior, e que não se concretizaram, ou que tiveram seus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substancialmente modificados, poderão ser compensados na revisão tarifária proposta.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1.1.9. Volume Faturado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ao total em metros cúbicos relativos ao volume de água e volume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faturados no período.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21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sectPr>
          <w:pgSz w:w="11906" w:h="16838"/>
          <w:pgMar w:top="35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1.2 METODOLOGIA DE CÁLCULO DO ÍNDICE DE REVISÃO DAS TARIFAS DE ÁGUA E ESGOTO</w:t>
      </w:r>
    </w:p>
    <w:p>
      <w:pPr>
        <w:autoSpaceDN w:val="0"/>
        <w:autoSpaceDE w:val="0"/>
        <w:widowControl/>
        <w:spacing w:line="245" w:lineRule="auto" w:before="394" w:after="0"/>
        <w:ind w:left="0" w:right="20" w:firstLine="70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Revisão Tarifária é aferido o equilíbrio econômico-financeiro do prestador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avaliado em termos do CICLO TARIFÁRIO por ele definido. O indicador-síntese da condição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equilíbrio, observado pelo CICLO TARIFÁRIO imediatamente encerrado, é a Defasagem Tarifária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(DT), calculada como a razão entre o Gasto Médio Atual (GMA) e a Tarifa Média Praticada (TMP).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Média Necessária (TMN) sintetiza receitas, gastos e demais variáveis planejados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projetados para o CICLO TARIFÁRIO que se inicia.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1.2.1 - CÁLCULO DA DEFASAGEM TARIFÁRIA (DT)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detalhamento de vários conceitos, apresenta-se o cálculo da Defasagem Tarifária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(DT), por meio da Tarifa Média Praticada (TMP) e do Gasto Médio Atual (GMA). </w:t>
      </w:r>
    </w:p>
    <w:p>
      <w:pPr>
        <w:autoSpaceDN w:val="0"/>
        <w:autoSpaceDE w:val="0"/>
        <w:widowControl/>
        <w:spacing w:line="197" w:lineRule="auto" w:before="638" w:after="30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Tarifa Média Praticada (TMP)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28"/>
      </w:tblGrid>
      <w:tr>
        <w:trPr>
          <w:trHeight w:hRule="exact" w:val="3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61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RT </w:t>
            </w:r>
          </w:p>
        </w:tc>
      </w:tr>
      <w:tr>
        <w:trPr>
          <w:trHeight w:hRule="exact" w:val="302"/>
        </w:trPr>
        <w:tc>
          <w:tcPr>
            <w:tcW w:type="dxa" w:w="2834"/>
            <w:tcBorders>
              <w:start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1417"/>
              <w:gridCol w:w="1417"/>
            </w:tblGrid>
            <w:tr>
              <w:trPr>
                <w:trHeight w:hRule="exact" w:val="324"/>
              </w:trPr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10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TMP   =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302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0" w:right="57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TMP = Tarifa Média Praticada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RT = Receita Tarifária (Faturamento)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VF = Volume Faturado </w:t>
      </w:r>
    </w:p>
    <w:p>
      <w:pPr>
        <w:autoSpaceDN w:val="0"/>
        <w:autoSpaceDE w:val="0"/>
        <w:widowControl/>
        <w:spacing w:line="197" w:lineRule="auto" w:before="642" w:after="29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 Gasto Médio Total (GM</w:t>
      </w:r>
      <w:r>
        <w:rPr>
          <w:rFonts w:ascii="Calibri" w:hAnsi="Calibri" w:eastAsia="Calibri"/>
          <w:b/>
          <w:i w:val="0"/>
          <w:color w:val="000000"/>
          <w:sz w:val="16"/>
        </w:rPr>
        <w:t>T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28"/>
      </w:tblGrid>
      <w:tr>
        <w:trPr>
          <w:trHeight w:hRule="exact" w:val="4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197" w:lineRule="auto" w:before="102" w:after="0"/>
              <w:ind w:left="25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GM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=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GM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+ GM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45" w:lineRule="auto" w:before="344" w:after="0"/>
        <w:ind w:left="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GM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Gasto Médio Total coberto com tarifas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GM</w:t>
      </w:r>
      <w:r>
        <w:rPr>
          <w:rFonts w:ascii="Calibri" w:hAnsi="Calibri" w:eastAsia="Calibri"/>
          <w:b w:val="0"/>
          <w:i w:val="0"/>
          <w:color w:val="000000"/>
          <w:sz w:val="16"/>
        </w:rPr>
        <w:t>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Gasto Médio de Exploração, Amortização de Dívidas, Provisão e Precatórios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>GM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Gasto Médio de Investimentos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30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sectPr>
          <w:pgSz w:w="11906" w:h="16838"/>
          <w:pgMar w:top="350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248" w:after="298"/>
        <w:ind w:left="2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Gasto Médio de Exploração - GM</w:t>
      </w:r>
      <w:r>
        <w:rPr>
          <w:rFonts w:ascii="Calibri" w:hAnsi="Calibri" w:eastAsia="Calibri"/>
          <w:b/>
          <w:i w:val="0"/>
          <w:color w:val="000000"/>
          <w:sz w:val="16"/>
        </w:rPr>
        <w:t>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9424"/>
      </w:tblGrid>
      <w:tr>
        <w:trPr>
          <w:trHeight w:hRule="exact" w:val="302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37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GEX + APP - OR </w:t>
            </w:r>
          </w:p>
        </w:tc>
      </w:tr>
      <w:tr>
        <w:trPr>
          <w:trHeight w:hRule="exact" w:val="306"/>
        </w:trPr>
        <w:tc>
          <w:tcPr>
            <w:tcW w:type="dxa" w:w="3404"/>
            <w:tcBorders>
              <w:start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0.0" w:type="dxa"/>
            </w:tblPr>
            <w:tblGrid>
              <w:gridCol w:w="1702"/>
              <w:gridCol w:w="1702"/>
            </w:tblGrid>
            <w:tr>
              <w:trPr>
                <w:trHeight w:hRule="exact" w:val="328"/>
              </w:trPr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14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GM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E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=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502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568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GM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Gasto Médio de Exploração, Amortização de Dívidas, Provisão e Precatórios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GEX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Gasto de Exploração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APP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Gastos com Amortização de Dívidas, Provisões e Precatórios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OR </w:t>
      </w:r>
      <w:r>
        <w:rPr>
          <w:rFonts w:ascii="Calibri" w:hAnsi="Calibri" w:eastAsia="Calibri"/>
          <w:b w:val="0"/>
          <w:i w:val="0"/>
          <w:color w:val="000000"/>
          <w:sz w:val="24"/>
        </w:rPr>
        <w:t>=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Outras Receitas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VF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Volume Faturado </w:t>
      </w:r>
    </w:p>
    <w:p>
      <w:pPr>
        <w:autoSpaceDN w:val="0"/>
        <w:autoSpaceDE w:val="0"/>
        <w:widowControl/>
        <w:spacing w:line="247" w:lineRule="auto" w:before="588" w:after="300"/>
        <w:ind w:left="2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Gasto Médio de Investimentos (GM</w:t>
      </w:r>
      <w:r>
        <w:rPr>
          <w:rFonts w:ascii="Calibri" w:hAnsi="Calibri" w:eastAsia="Calibri"/>
          <w:b/>
          <w:i w:val="0"/>
          <w:color w:val="000000"/>
          <w:sz w:val="16"/>
        </w:rPr>
        <w:t>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6.0" w:type="dxa"/>
      </w:tblPr>
      <w:tblGrid>
        <w:gridCol w:w="9424"/>
      </w:tblGrid>
      <w:tr>
        <w:trPr>
          <w:trHeight w:hRule="exact" w:val="300"/>
        </w:trPr>
        <w:tc>
          <w:tcPr>
            <w:tcW w:type="dxa" w:w="3404"/>
            <w:tcBorders>
              <w:start w:sz="4.0" w:val="single" w:color="#000000"/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1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IRP + IRX – REI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306"/>
        </w:trPr>
        <w:tc>
          <w:tcPr>
            <w:tcW w:type="dxa" w:w="3404"/>
            <w:tcBorders>
              <w:start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0.0" w:type="dxa"/>
            </w:tblPr>
            <w:tblGrid>
              <w:gridCol w:w="1702"/>
              <w:gridCol w:w="1702"/>
            </w:tblGrid>
            <w:tr>
              <w:trPr>
                <w:trHeight w:hRule="exact" w:val="330"/>
              </w:trPr>
              <w:tc>
                <w:tcPr>
                  <w:tcW w:type="dxa" w:w="1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12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GM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i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=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4" w:after="0"/>
                    <w:ind w:left="0" w:right="502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VF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568" w:right="446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GM</w:t>
      </w:r>
      <w:r>
        <w:rPr>
          <w:rFonts w:ascii="Calibri" w:hAnsi="Calibri" w:eastAsia="Calibri"/>
          <w:b/>
          <w:i w:val="0"/>
          <w:color w:val="000000"/>
          <w:sz w:val="16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Gasto Médio de Investimentos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IRP </w:t>
      </w:r>
      <w:r>
        <w:rPr>
          <w:rFonts w:ascii="Calibri" w:hAnsi="Calibri" w:eastAsia="Calibri"/>
          <w:b w:val="0"/>
          <w:i w:val="0"/>
          <w:color w:val="000000"/>
          <w:sz w:val="24"/>
        </w:rPr>
        <w:t>=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Investimentos com Recursos Próprios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IRX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Investimentos com Recursos Externos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REI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Recursos Externos para Investimentos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VF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Volume Faturado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c) Defasagem Tarifária (DT)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 percentualmente a defasagem existente entre a Tarifa Média Praticada em vigor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Custo Médio de Referência dos serviços que deveria ser coberto com a tarifa. </w:t>
      </w:r>
    </w:p>
    <w:p>
      <w:pPr>
        <w:autoSpaceDN w:val="0"/>
        <w:autoSpaceDE w:val="0"/>
        <w:widowControl/>
        <w:spacing w:line="197" w:lineRule="auto" w:before="348" w:after="298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 ser calculada pela equação: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1"/>
        <w:gridCol w:w="3141"/>
        <w:gridCol w:w="3141"/>
      </w:tblGrid>
      <w:tr>
        <w:trPr>
          <w:trHeight w:hRule="exact" w:val="352"/>
        </w:trPr>
        <w:tc>
          <w:tcPr>
            <w:tcW w:type="dxa" w:w="846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top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GM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</w:p>
        </w:tc>
        <w:tc>
          <w:tcPr>
            <w:tcW w:type="dxa" w:w="1136"/>
            <w:tcBorders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0"/>
        </w:trPr>
        <w:tc>
          <w:tcPr>
            <w:tcW w:type="dxa" w:w="846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DT =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4"/>
              </w:rPr>
              <w:t>(</w:t>
            </w:r>
          </w:p>
        </w:tc>
        <w:tc>
          <w:tcPr>
            <w:tcW w:type="dxa" w:w="848"/>
            <w:tcBorders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TMP </w:t>
            </w:r>
          </w:p>
        </w:tc>
        <w:tc>
          <w:tcPr>
            <w:tcW w:type="dxa" w:w="1136"/>
            <w:tcBorders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-1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4"/>
              </w:rPr>
              <w:t>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x 100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2"/>
        <w:gridCol w:w="4712"/>
      </w:tblGrid>
      <w:tr>
        <w:trPr>
          <w:trHeight w:hRule="exact" w:val="346"/>
        </w:trPr>
        <w:tc>
          <w:tcPr>
            <w:tcW w:type="dxa" w:w="6316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92" w:after="0"/>
              <w:ind w:left="0" w:right="331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= Defasagem Tarifária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GM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Gasto Médio 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TMP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= Tarifa Média Praticada</w:t>
            </w:r>
          </w:p>
          <w:p>
            <w:pPr>
              <w:autoSpaceDN w:val="0"/>
              <w:autoSpaceDE w:val="0"/>
              <w:widowControl/>
              <w:spacing w:line="194" w:lineRule="auto" w:before="19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435 – 01/06/2022 </w:t>
            </w:r>
          </w:p>
        </w:tc>
        <w:tc>
          <w:tcPr>
            <w:tcW w:type="dxa" w:w="30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560"/>
        </w:trPr>
        <w:tc>
          <w:tcPr>
            <w:tcW w:type="dxa" w:w="4712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3376" w:after="0"/>
              <w:ind w:left="0" w:right="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106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30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Quadro Resumo – Elementos da Tarifa Média Praticada (TMP) e Gasto Médio Total (GM</w:t>
      </w:r>
      <w:r>
        <w:rPr>
          <w:rFonts w:ascii="Calibri" w:hAnsi="Calibri" w:eastAsia="Calibri"/>
          <w:b/>
          <w:i w:val="0"/>
          <w:color w:val="000000"/>
          <w:sz w:val="16"/>
        </w:rPr>
        <w:t>T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77"/>
        <w:gridCol w:w="3177"/>
        <w:gridCol w:w="3177"/>
      </w:tblGrid>
      <w:tr>
        <w:trPr>
          <w:trHeight w:hRule="exact" w:val="324"/>
        </w:trPr>
        <w:tc>
          <w:tcPr>
            <w:tcW w:type="dxa" w:w="1698"/>
            <w:tcBorders>
              <w:start w:sz="4.0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ITEM</w:t>
            </w:r>
          </w:p>
        </w:tc>
        <w:tc>
          <w:tcPr>
            <w:tcW w:type="dxa" w:w="5388"/>
            <w:tcBorders>
              <w:start w:sz="8.0" w:val="single" w:color="#000000"/>
              <w:top w:sz="4.0" w:val="single" w:color="#000000"/>
              <w:end w:sz="8.0" w:val="single" w:color="#000000"/>
              <w:bottom w:sz="7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SUB-ITEM</w:t>
            </w:r>
          </w:p>
        </w:tc>
        <w:tc>
          <w:tcPr>
            <w:tcW w:type="dxa" w:w="2408"/>
            <w:tcBorders>
              <w:start w:sz="8.0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CÓDIGO</w:t>
            </w:r>
          </w:p>
        </w:tc>
      </w:tr>
      <w:tr>
        <w:trPr>
          <w:trHeight w:hRule="exact" w:val="332"/>
        </w:trPr>
        <w:tc>
          <w:tcPr>
            <w:tcW w:type="dxa" w:w="1698"/>
            <w:tcBorders>
              <w:start w:sz="4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RT</w:t>
            </w:r>
          </w:p>
        </w:tc>
        <w:tc>
          <w:tcPr>
            <w:tcW w:type="dxa" w:w="538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A2C36"/>
                <w:sz w:val="24"/>
              </w:rPr>
              <w:t>RECEITA TARIFÁRIA (FATURAMENTO)</w:t>
            </w:r>
          </w:p>
        </w:tc>
        <w:tc>
          <w:tcPr>
            <w:tcW w:type="dxa" w:w="2408"/>
            <w:tcBorders>
              <w:start w:sz="8.0" w:val="single" w:color="#000000"/>
              <w:top w:sz="7.2000000000000455" w:val="single" w:color="#000000"/>
              <w:end w:sz="4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</w:t>
            </w:r>
          </w:p>
        </w:tc>
      </w:tr>
      <w:tr>
        <w:trPr>
          <w:trHeight w:hRule="exact" w:val="334"/>
        </w:trPr>
        <w:tc>
          <w:tcPr>
            <w:tcW w:type="dxa" w:w="1698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VF</w:t>
            </w:r>
          </w:p>
        </w:tc>
        <w:tc>
          <w:tcPr>
            <w:tcW w:type="dxa" w:w="53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A2C36"/>
                <w:sz w:val="24"/>
              </w:rPr>
              <w:t>VOLUME FATURADO</w:t>
            </w:r>
          </w:p>
        </w:tc>
        <w:tc>
          <w:tcPr>
            <w:tcW w:type="dxa" w:w="2408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</w:t>
            </w:r>
          </w:p>
        </w:tc>
      </w:tr>
      <w:tr>
        <w:trPr>
          <w:trHeight w:hRule="exact" w:val="332"/>
        </w:trPr>
        <w:tc>
          <w:tcPr>
            <w:tcW w:type="dxa" w:w="1698"/>
            <w:vMerge w:val="restart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GEX </w:t>
            </w:r>
          </w:p>
        </w:tc>
        <w:tc>
          <w:tcPr>
            <w:tcW w:type="dxa" w:w="538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A2C36"/>
                <w:sz w:val="24"/>
              </w:rPr>
              <w:t xml:space="preserve">Pessoal </w:t>
            </w:r>
          </w:p>
        </w:tc>
        <w:tc>
          <w:tcPr>
            <w:tcW w:type="dxa" w:w="2408"/>
            <w:tcBorders>
              <w:start w:sz="8.0" w:val="single" w:color="#000000"/>
              <w:top w:sz="8.0" w:val="single" w:color="#000000"/>
              <w:end w:sz="4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C1 </w:t>
            </w:r>
          </w:p>
        </w:tc>
      </w:tr>
      <w:tr>
        <w:trPr>
          <w:trHeight w:hRule="exact" w:val="330"/>
        </w:trPr>
        <w:tc>
          <w:tcPr>
            <w:tcW w:type="dxa" w:w="3177"/>
            <w:vMerge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5388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A2C36"/>
                <w:sz w:val="24"/>
              </w:rPr>
              <w:t xml:space="preserve">Materiais </w:t>
            </w:r>
          </w:p>
        </w:tc>
        <w:tc>
          <w:tcPr>
            <w:tcW w:type="dxa" w:w="2408"/>
            <w:tcBorders>
              <w:start w:sz="8.0" w:val="single" w:color="#000000"/>
              <w:top w:sz="7.199999999999818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C2 </w:t>
            </w:r>
          </w:p>
        </w:tc>
      </w:tr>
      <w:tr>
        <w:trPr>
          <w:trHeight w:hRule="exact" w:val="334"/>
        </w:trPr>
        <w:tc>
          <w:tcPr>
            <w:tcW w:type="dxa" w:w="3177"/>
            <w:vMerge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53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A2C36"/>
                <w:sz w:val="24"/>
              </w:rPr>
              <w:t xml:space="preserve">Serviços de Terceiros </w:t>
            </w:r>
          </w:p>
        </w:tc>
        <w:tc>
          <w:tcPr>
            <w:tcW w:type="dxa" w:w="2408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C3 </w:t>
            </w:r>
          </w:p>
        </w:tc>
      </w:tr>
      <w:tr>
        <w:trPr>
          <w:trHeight w:hRule="exact" w:val="332"/>
        </w:trPr>
        <w:tc>
          <w:tcPr>
            <w:tcW w:type="dxa" w:w="3177"/>
            <w:vMerge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538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A2C36"/>
                <w:sz w:val="24"/>
              </w:rPr>
              <w:t xml:space="preserve">Energia Elétrica </w:t>
            </w:r>
          </w:p>
        </w:tc>
        <w:tc>
          <w:tcPr>
            <w:tcW w:type="dxa" w:w="2408"/>
            <w:tcBorders>
              <w:start w:sz="8.0" w:val="single" w:color="#000000"/>
              <w:top w:sz="8.0" w:val="single" w:color="#000000"/>
              <w:end w:sz="4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C4 </w:t>
            </w:r>
          </w:p>
        </w:tc>
      </w:tr>
      <w:tr>
        <w:trPr>
          <w:trHeight w:hRule="exact" w:val="330"/>
        </w:trPr>
        <w:tc>
          <w:tcPr>
            <w:tcW w:type="dxa" w:w="3177"/>
            <w:vMerge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5388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A2C36"/>
                <w:sz w:val="24"/>
              </w:rPr>
              <w:t xml:space="preserve">Outros Gastos </w:t>
            </w:r>
          </w:p>
        </w:tc>
        <w:tc>
          <w:tcPr>
            <w:tcW w:type="dxa" w:w="2408"/>
            <w:tcBorders>
              <w:start w:sz="8.0" w:val="single" w:color="#000000"/>
              <w:top w:sz="7.2000000000000455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C5 </w:t>
            </w:r>
          </w:p>
        </w:tc>
      </w:tr>
      <w:tr>
        <w:trPr>
          <w:trHeight w:hRule="exact" w:val="334"/>
        </w:trPr>
        <w:tc>
          <w:tcPr>
            <w:tcW w:type="dxa" w:w="7086"/>
            <w:gridSpan w:val="2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TOTAL GEX</w:t>
            </w:r>
          </w:p>
        </w:tc>
        <w:tc>
          <w:tcPr>
            <w:tcW w:type="dxa" w:w="2408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</w:t>
            </w:r>
          </w:p>
        </w:tc>
      </w:tr>
      <w:tr>
        <w:trPr>
          <w:trHeight w:hRule="exact" w:val="332"/>
        </w:trPr>
        <w:tc>
          <w:tcPr>
            <w:tcW w:type="dxa" w:w="1698"/>
            <w:vMerge w:val="restart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APP</w:t>
            </w:r>
          </w:p>
        </w:tc>
        <w:tc>
          <w:tcPr>
            <w:tcW w:type="dxa" w:w="53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A2C36"/>
                <w:sz w:val="24"/>
              </w:rPr>
              <w:t xml:space="preserve">Amortização de Dívidas </w:t>
            </w:r>
          </w:p>
        </w:tc>
        <w:tc>
          <w:tcPr>
            <w:tcW w:type="dxa" w:w="2408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D1 </w:t>
            </w:r>
          </w:p>
        </w:tc>
      </w:tr>
      <w:tr>
        <w:trPr>
          <w:trHeight w:hRule="exact" w:val="330"/>
        </w:trPr>
        <w:tc>
          <w:tcPr>
            <w:tcW w:type="dxa" w:w="3177"/>
            <w:vMerge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53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A2C36"/>
                <w:sz w:val="24"/>
              </w:rPr>
              <w:t xml:space="preserve">Provisões </w:t>
            </w:r>
          </w:p>
        </w:tc>
        <w:tc>
          <w:tcPr>
            <w:tcW w:type="dxa" w:w="2408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D2 </w:t>
            </w:r>
          </w:p>
        </w:tc>
      </w:tr>
      <w:tr>
        <w:trPr>
          <w:trHeight w:hRule="exact" w:val="334"/>
        </w:trPr>
        <w:tc>
          <w:tcPr>
            <w:tcW w:type="dxa" w:w="3177"/>
            <w:vMerge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</w:tcPr>
          <w:p/>
        </w:tc>
        <w:tc>
          <w:tcPr>
            <w:tcW w:type="dxa" w:w="53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A2C36"/>
                <w:sz w:val="24"/>
              </w:rPr>
              <w:t xml:space="preserve">Precatórios, Sentenças e Acordos Judiciais </w:t>
            </w:r>
          </w:p>
        </w:tc>
        <w:tc>
          <w:tcPr>
            <w:tcW w:type="dxa" w:w="2408"/>
            <w:tcBorders>
              <w:start w:sz="8.0" w:val="single" w:color="#000000"/>
              <w:top w:sz="8.0" w:val="single" w:color="#000000"/>
              <w:end w:sz="4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D3 </w:t>
            </w:r>
          </w:p>
        </w:tc>
      </w:tr>
      <w:tr>
        <w:trPr>
          <w:trHeight w:hRule="exact" w:val="330"/>
        </w:trPr>
        <w:tc>
          <w:tcPr>
            <w:tcW w:type="dxa" w:w="7086"/>
            <w:gridSpan w:val="2"/>
            <w:tcBorders>
              <w:start w:sz="4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APP </w:t>
            </w:r>
          </w:p>
        </w:tc>
        <w:tc>
          <w:tcPr>
            <w:tcW w:type="dxa" w:w="2408"/>
            <w:tcBorders>
              <w:start w:sz="8.0" w:val="single" w:color="#000000"/>
              <w:top w:sz="8.0" w:val="single" w:color="#000000"/>
              <w:end w:sz="4.0" w:val="single" w:color="#000000"/>
              <w:bottom w:sz="7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</w:t>
            </w:r>
          </w:p>
        </w:tc>
      </w:tr>
      <w:tr>
        <w:trPr>
          <w:trHeight w:hRule="exact" w:val="332"/>
        </w:trPr>
        <w:tc>
          <w:tcPr>
            <w:tcW w:type="dxa" w:w="1698"/>
            <w:tcBorders>
              <w:start w:sz="4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IRP</w:t>
            </w:r>
          </w:p>
        </w:tc>
        <w:tc>
          <w:tcPr>
            <w:tcW w:type="dxa" w:w="538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INVESTIMENTOS COM - RECURSOS PRÓPRIOS</w:t>
            </w:r>
          </w:p>
        </w:tc>
        <w:tc>
          <w:tcPr>
            <w:tcW w:type="dxa" w:w="2408"/>
            <w:tcBorders>
              <w:start w:sz="8.0" w:val="single" w:color="#000000"/>
              <w:top w:sz="7.200000000000273" w:val="single" w:color="#000000"/>
              <w:end w:sz="4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E</w:t>
            </w:r>
          </w:p>
        </w:tc>
      </w:tr>
      <w:tr>
        <w:trPr>
          <w:trHeight w:hRule="exact" w:val="334"/>
        </w:trPr>
        <w:tc>
          <w:tcPr>
            <w:tcW w:type="dxa" w:w="1698"/>
            <w:tcBorders>
              <w:start w:sz="4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IRX </w:t>
            </w:r>
          </w:p>
        </w:tc>
        <w:tc>
          <w:tcPr>
            <w:tcW w:type="dxa" w:w="538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A2C36"/>
                <w:sz w:val="24"/>
              </w:rPr>
              <w:t xml:space="preserve">INVESTIMENTOS COM RECURSOS EXTERNOS </w:t>
            </w:r>
          </w:p>
        </w:tc>
        <w:tc>
          <w:tcPr>
            <w:tcW w:type="dxa" w:w="240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2A2C36"/>
                <w:sz w:val="24"/>
              </w:rPr>
              <w:t xml:space="preserve">F </w:t>
            </w:r>
          </w:p>
        </w:tc>
      </w:tr>
      <w:tr>
        <w:trPr>
          <w:trHeight w:hRule="exact" w:val="330"/>
        </w:trPr>
        <w:tc>
          <w:tcPr>
            <w:tcW w:type="dxa" w:w="1698"/>
            <w:tcBorders>
              <w:start w:sz="4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REI </w:t>
            </w:r>
          </w:p>
        </w:tc>
        <w:tc>
          <w:tcPr>
            <w:tcW w:type="dxa" w:w="538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A2C36"/>
                <w:sz w:val="24"/>
              </w:rPr>
              <w:t xml:space="preserve">RECURSOS EXTERNOS PARA INVESTIMENTOS </w:t>
            </w:r>
          </w:p>
        </w:tc>
        <w:tc>
          <w:tcPr>
            <w:tcW w:type="dxa" w:w="2408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2A2C36"/>
                <w:sz w:val="24"/>
              </w:rPr>
              <w:t xml:space="preserve">G </w:t>
            </w:r>
          </w:p>
        </w:tc>
      </w:tr>
      <w:tr>
        <w:trPr>
          <w:trHeight w:hRule="exact" w:val="334"/>
        </w:trPr>
        <w:tc>
          <w:tcPr>
            <w:tcW w:type="dxa" w:w="1698"/>
            <w:tcBorders>
              <w:start w:sz="4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OR</w:t>
            </w:r>
          </w:p>
        </w:tc>
        <w:tc>
          <w:tcPr>
            <w:tcW w:type="dxa" w:w="538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2A2C36"/>
                <w:sz w:val="24"/>
              </w:rPr>
              <w:t>OUTRAS RECEITAS</w:t>
            </w:r>
          </w:p>
        </w:tc>
        <w:tc>
          <w:tcPr>
            <w:tcW w:type="dxa" w:w="2408"/>
            <w:tcBorders>
              <w:start w:sz="8.0" w:val="single" w:color="#000000"/>
              <w:top w:sz="7.199999999999818" w:val="single" w:color="#000000"/>
              <w:end w:sz="4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 </w:t>
            </w:r>
          </w:p>
        </w:tc>
      </w:tr>
      <w:tr>
        <w:trPr>
          <w:trHeight w:hRule="exact" w:val="332"/>
        </w:trPr>
        <w:tc>
          <w:tcPr>
            <w:tcW w:type="dxa" w:w="7086"/>
            <w:gridSpan w:val="2"/>
            <w:tcBorders>
              <w:start w:sz="4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GASTO MÉDIO DE EXPLORAÇÃO - GM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</w:t>
            </w:r>
          </w:p>
        </w:tc>
        <w:tc>
          <w:tcPr>
            <w:tcW w:type="dxa" w:w="2408"/>
            <w:tcBorders>
              <w:start w:sz="8.0" w:val="single" w:color="#000000"/>
              <w:top w:sz="7.199999999999818" w:val="single" w:color="#000000"/>
              <w:end w:sz="4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(C + D - H) / B</w:t>
            </w:r>
          </w:p>
        </w:tc>
      </w:tr>
      <w:tr>
        <w:trPr>
          <w:trHeight w:hRule="exact" w:val="332"/>
        </w:trPr>
        <w:tc>
          <w:tcPr>
            <w:tcW w:type="dxa" w:w="7086"/>
            <w:gridSpan w:val="2"/>
            <w:tcBorders>
              <w:start w:sz="4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GASTO MÉDIO DE INVESTIMENTOS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- GM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</w:t>
            </w:r>
          </w:p>
        </w:tc>
        <w:tc>
          <w:tcPr>
            <w:tcW w:type="dxa" w:w="2408"/>
            <w:tcBorders>
              <w:start w:sz="8.0" w:val="single" w:color="#000000"/>
              <w:top w:sz="8.0" w:val="single" w:color="#000000"/>
              <w:end w:sz="4.0" w:val="single" w:color="#000000"/>
              <w:bottom w:sz="7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(E + F - G) / B</w:t>
            </w:r>
          </w:p>
        </w:tc>
      </w:tr>
      <w:tr>
        <w:trPr>
          <w:trHeight w:hRule="exact" w:val="328"/>
        </w:trPr>
        <w:tc>
          <w:tcPr>
            <w:tcW w:type="dxa" w:w="7086"/>
            <w:gridSpan w:val="2"/>
            <w:tcBorders>
              <w:start w:sz="4.0" w:val="single" w:color="#000000"/>
              <w:top w:sz="7.199999999999818" w:val="single" w:color="#000000"/>
              <w:end w:sz="8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GASTO MÉDIO TOTAL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(GM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) </w:t>
            </w:r>
          </w:p>
        </w:tc>
        <w:tc>
          <w:tcPr>
            <w:tcW w:type="dxa" w:w="2408"/>
            <w:tcBorders>
              <w:start w:sz="8.0" w:val="single" w:color="#000000"/>
              <w:top w:sz="7.199999999999818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GM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</w:t>
            </w: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 + GM</w:t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197" w:lineRule="auto" w:before="928" w:after="0"/>
        <w:ind w:left="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1.2.2 - CÁLCULO DA TARIFA MÉDIA NECESSÁRIA (TMN) </w:t>
      </w:r>
    </w:p>
    <w:p>
      <w:pPr>
        <w:autoSpaceDN w:val="0"/>
        <w:autoSpaceDE w:val="0"/>
        <w:widowControl/>
        <w:spacing w:line="245" w:lineRule="auto" w:before="346" w:after="0"/>
        <w:ind w:left="74" w:right="52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fins de cálculo da Tarifa Média Necessária (TMN) serão considerados os Valores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Referência (VR) fixados para o rol de contas regulatórias, denominados em moeda corrente,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projetados para o período de 24 (vinte e quatro) meses relativos ao próximo ciclo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 de serviços. </w:t>
      </w:r>
    </w:p>
    <w:p>
      <w:pPr>
        <w:autoSpaceDN w:val="0"/>
        <w:autoSpaceDE w:val="0"/>
        <w:widowControl/>
        <w:spacing w:line="245" w:lineRule="auto" w:before="346" w:after="0"/>
        <w:ind w:left="74" w:right="58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Parecer Consolidado explicitará as premissas e parâmetros utilizados para cálculo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projeções, considerando critérios para dimensionamento da oferta e da demanda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dos gastos, receitas e investimentos necessários. </w:t>
      </w:r>
    </w:p>
    <w:p>
      <w:pPr>
        <w:autoSpaceDN w:val="0"/>
        <w:autoSpaceDE w:val="0"/>
        <w:widowControl/>
        <w:spacing w:line="197" w:lineRule="auto" w:before="640" w:after="0"/>
        <w:ind w:left="7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Rol de Contas Regulatórias: </w:t>
      </w:r>
    </w:p>
    <w:p>
      <w:pPr>
        <w:autoSpaceDN w:val="0"/>
        <w:autoSpaceDE w:val="0"/>
        <w:widowControl/>
        <w:spacing w:line="245" w:lineRule="auto" w:before="346" w:after="0"/>
        <w:ind w:left="74" w:right="0" w:firstLine="56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rol de contas regulatórias utilizadas para cálculo da TMN compreende detalhamento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grupos que compõe o cálculo da defasagem tarifária além da inclusão de itens, conforme segue: </w:t>
      </w:r>
    </w:p>
    <w:p>
      <w:pPr>
        <w:autoSpaceDN w:val="0"/>
        <w:tabs>
          <w:tab w:pos="9148" w:val="left"/>
        </w:tabs>
        <w:autoSpaceDE w:val="0"/>
        <w:widowControl/>
        <w:spacing w:line="194" w:lineRule="auto" w:before="1054" w:after="0"/>
        <w:ind w:left="7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sectPr>
          <w:pgSz w:w="11906" w:h="16838"/>
          <w:pgMar w:top="350" w:right="1030" w:bottom="548" w:left="13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50"/>
        <w:ind w:left="0" w:right="295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398"/>
      </w:tblGrid>
      <w:tr>
        <w:trPr>
          <w:trHeight w:hRule="exact" w:val="312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GASTOS DE EXPLORAÇÃO (GEX) </w:t>
            </w:r>
          </w:p>
        </w:tc>
      </w:tr>
      <w:tr>
        <w:trPr>
          <w:trHeight w:hRule="exact" w:val="314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Pessoal </w:t>
            </w:r>
          </w:p>
        </w:tc>
      </w:tr>
      <w:tr>
        <w:trPr>
          <w:trHeight w:hRule="exact" w:val="312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Materiais </w:t>
            </w:r>
          </w:p>
        </w:tc>
      </w:tr>
      <w:tr>
        <w:trPr>
          <w:trHeight w:hRule="exact" w:val="312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de Processo (Produtos Químicos) </w:t>
            </w:r>
          </w:p>
        </w:tc>
      </w:tr>
      <w:tr>
        <w:trPr>
          <w:trHeight w:hRule="exact" w:val="314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de Consumo </w:t>
            </w:r>
          </w:p>
        </w:tc>
      </w:tr>
      <w:tr>
        <w:trPr>
          <w:trHeight w:hRule="exact" w:val="312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de Manutenção e Conservação </w:t>
            </w:r>
          </w:p>
        </w:tc>
      </w:tr>
      <w:tr>
        <w:trPr>
          <w:trHeight w:hRule="exact" w:val="314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Combustíveis e Lubrificantes </w:t>
            </w:r>
          </w:p>
        </w:tc>
      </w:tr>
      <w:tr>
        <w:trPr>
          <w:trHeight w:hRule="exact" w:val="314"/>
        </w:trPr>
        <w:tc>
          <w:tcPr>
            <w:tcW w:type="dxa" w:w="935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Materiais </w:t>
            </w:r>
          </w:p>
        </w:tc>
      </w:tr>
      <w:tr>
        <w:trPr>
          <w:trHeight w:hRule="exact" w:val="312"/>
        </w:trPr>
        <w:tc>
          <w:tcPr>
            <w:tcW w:type="dxa" w:w="9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Terceiros </w:t>
            </w:r>
          </w:p>
        </w:tc>
      </w:tr>
      <w:tr>
        <w:trPr>
          <w:trHeight w:hRule="exact" w:val="314"/>
        </w:trPr>
        <w:tc>
          <w:tcPr>
            <w:tcW w:type="dxa" w:w="935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Terceiros - Manutenção e Conservação </w:t>
            </w:r>
          </w:p>
        </w:tc>
      </w:tr>
      <w:tr>
        <w:trPr>
          <w:trHeight w:hRule="exact" w:val="310"/>
        </w:trPr>
        <w:tc>
          <w:tcPr>
            <w:tcW w:type="dxa" w:w="9358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Aluguéis Diversos </w:t>
            </w:r>
          </w:p>
        </w:tc>
      </w:tr>
      <w:tr>
        <w:trPr>
          <w:trHeight w:hRule="exact" w:val="316"/>
        </w:trPr>
        <w:tc>
          <w:tcPr>
            <w:tcW w:type="dxa" w:w="935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Parceira Privada (Concessão Parcial) </w:t>
            </w:r>
          </w:p>
        </w:tc>
      </w:tr>
      <w:tr>
        <w:trPr>
          <w:trHeight w:hRule="exact" w:val="312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Serviços de Terceiros </w:t>
            </w:r>
          </w:p>
        </w:tc>
      </w:tr>
      <w:tr>
        <w:trPr>
          <w:trHeight w:hRule="exact" w:val="312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Energia Elétrica </w:t>
            </w:r>
          </w:p>
        </w:tc>
      </w:tr>
      <w:tr>
        <w:trPr>
          <w:trHeight w:hRule="exact" w:val="316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Outras Despesas </w:t>
            </w:r>
          </w:p>
        </w:tc>
      </w:tr>
      <w:tr>
        <w:trPr>
          <w:trHeight w:hRule="exact" w:val="310"/>
        </w:trPr>
        <w:tc>
          <w:tcPr>
            <w:tcW w:type="dxa" w:w="935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AMORTIZAÇÃO DE DÍVIDAS, PROVISÕES E PRECATÓRIOS </w:t>
            </w:r>
          </w:p>
        </w:tc>
      </w:tr>
      <w:tr>
        <w:trPr>
          <w:trHeight w:hRule="exact" w:val="314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Amortização de Dívidas </w:t>
            </w:r>
          </w:p>
        </w:tc>
      </w:tr>
      <w:tr>
        <w:trPr>
          <w:trHeight w:hRule="exact" w:val="312"/>
        </w:trPr>
        <w:tc>
          <w:tcPr>
            <w:tcW w:type="dxa" w:w="935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Provisões </w:t>
            </w:r>
          </w:p>
        </w:tc>
      </w:tr>
      <w:tr>
        <w:trPr>
          <w:trHeight w:hRule="exact" w:val="314"/>
        </w:trPr>
        <w:tc>
          <w:tcPr>
            <w:tcW w:type="dxa" w:w="9358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34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Precatórios, Sentenças e Acordos Judiciais </w:t>
            </w:r>
          </w:p>
        </w:tc>
      </w:tr>
      <w:tr>
        <w:trPr>
          <w:trHeight w:hRule="exact" w:val="314"/>
        </w:trPr>
        <w:tc>
          <w:tcPr>
            <w:tcW w:type="dxa" w:w="935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INVESTIMENTOS COM RECURSOS PRÓPRIOS (IRP) </w:t>
            </w:r>
          </w:p>
        </w:tc>
      </w:tr>
      <w:tr>
        <w:trPr>
          <w:trHeight w:hRule="exact" w:val="310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OUTRAS RECEITAS (OR) </w:t>
            </w:r>
          </w:p>
        </w:tc>
      </w:tr>
      <w:tr>
        <w:trPr>
          <w:trHeight w:hRule="exact" w:val="316"/>
        </w:trPr>
        <w:tc>
          <w:tcPr>
            <w:tcW w:type="dxa" w:w="9358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INVESTIMENTOS COM RECURSOS EXTERNOS </w:t>
            </w:r>
          </w:p>
        </w:tc>
      </w:tr>
      <w:tr>
        <w:trPr>
          <w:trHeight w:hRule="exact" w:val="312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RECURSOS EXTERNOS PARA INVESTIMENTOS </w:t>
            </w:r>
          </w:p>
        </w:tc>
      </w:tr>
      <w:tr>
        <w:trPr>
          <w:trHeight w:hRule="exact" w:val="312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RECURSOS DE DISPONIBILIDADE FINANCEIRA (RDF) </w:t>
            </w:r>
          </w:p>
        </w:tc>
      </w:tr>
      <w:tr>
        <w:trPr>
          <w:trHeight w:hRule="exact" w:val="316"/>
        </w:trPr>
        <w:tc>
          <w:tcPr>
            <w:tcW w:type="dxa" w:w="9358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VARIAÇÕES TARIFÁRIAS A COMPENSAR (VTC) </w:t>
            </w:r>
          </w:p>
        </w:tc>
      </w:tr>
      <w:tr>
        <w:trPr>
          <w:trHeight w:hRule="exact" w:val="314"/>
        </w:trPr>
        <w:tc>
          <w:tcPr>
            <w:tcW w:type="dxa" w:w="9358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VOLUME FATURADO (VF) </w:t>
            </w:r>
          </w:p>
        </w:tc>
      </w:tr>
    </w:tbl>
    <w:p>
      <w:pPr>
        <w:autoSpaceDN w:val="0"/>
        <w:autoSpaceDE w:val="0"/>
        <w:widowControl/>
        <w:spacing w:line="197" w:lineRule="auto" w:before="632" w:after="590"/>
        <w:ind w:left="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 Tarifa Média Necessária – Exploração (TMN</w:t>
      </w:r>
      <w:r>
        <w:rPr>
          <w:rFonts w:ascii="Calibri" w:hAnsi="Calibri" w:eastAsia="Calibri"/>
          <w:b/>
          <w:i w:val="0"/>
          <w:color w:val="000000"/>
          <w:sz w:val="16"/>
        </w:rPr>
        <w:t>E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.000000000000114" w:type="dxa"/>
      </w:tblPr>
      <w:tblGrid>
        <w:gridCol w:w="9398"/>
      </w:tblGrid>
      <w:tr>
        <w:trPr>
          <w:trHeight w:hRule="exact" w:val="426"/>
        </w:trPr>
        <w:tc>
          <w:tcPr>
            <w:tcW w:type="dxa" w:w="5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10.0" w:type="dxa"/>
            </w:tblPr>
            <w:tblGrid>
              <w:gridCol w:w="1796"/>
              <w:gridCol w:w="1796"/>
              <w:gridCol w:w="1796"/>
            </w:tblGrid>
            <w:tr>
              <w:trPr>
                <w:trHeight w:hRule="exact" w:val="400"/>
              </w:trPr>
              <w:tc>
                <w:tcPr>
                  <w:tcW w:type="dxa" w:w="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4"/>
                    </w:rPr>
                    <w:t>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(tÞ1,2)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[GEX</w:t>
                  </w:r>
                </w:p>
              </w:tc>
              <w:tc>
                <w:tcPr>
                  <w:tcW w:type="dxa" w:w="2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64" w:after="0"/>
                    <w:ind w:left="1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+ APP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– 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+ ou - VTC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]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4"/>
        </w:trPr>
        <w:tc>
          <w:tcPr>
            <w:tcW w:type="dxa" w:w="53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1796"/>
              <w:gridCol w:w="1796"/>
              <w:gridCol w:w="1796"/>
            </w:tblGrid>
            <w:tr>
              <w:trPr>
                <w:trHeight w:hRule="exact" w:val="448"/>
              </w:trPr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18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TMN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E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=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52" w:after="0"/>
                    <w:ind w:left="0" w:right="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4"/>
                    </w:rPr>
                    <w:t></w:t>
                  </w:r>
                </w:p>
              </w:tc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12" w:after="0"/>
                    <w:ind w:left="1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 xml:space="preserve"> (tÞ1,2)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VF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2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TMN</w:t>
      </w:r>
      <w:r>
        <w:rPr>
          <w:rFonts w:ascii="Calibri" w:hAnsi="Calibri" w:eastAsia="Calibri"/>
          <w:b/>
          <w:i w:val="0"/>
          <w:color w:val="000000"/>
          <w:sz w:val="16"/>
        </w:rPr>
        <w:t>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Tarifa Média Necessária - Exploração;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GEX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Gastos de Exploração projetadas para o período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APP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Amortização de Dívidas, Provisões e Precatórios projetados para o período “t” </w:t>
      </w:r>
      <w:r>
        <w:rPr>
          <w:rFonts w:ascii="Calibri" w:hAnsi="Calibri" w:eastAsia="Calibri"/>
          <w:b/>
          <w:i w:val="0"/>
          <w:color w:val="000000"/>
          <w:sz w:val="24"/>
        </w:rPr>
        <w:t>OR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Outras receitas projetadas para o período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VTC</w:t>
      </w:r>
      <w:r>
        <w:rPr>
          <w:rFonts w:ascii="Calibri" w:hAnsi="Calibri" w:eastAsia="Calibri"/>
          <w:b/>
          <w:i w:val="0"/>
          <w:color w:val="000000"/>
          <w:sz w:val="16"/>
        </w:rPr>
        <w:t>t</w:t>
      </w:r>
      <w:r>
        <w:rPr>
          <w:rFonts w:ascii="Calibri" w:hAnsi="Calibri" w:eastAsia="Calibri"/>
          <w:b w:val="0"/>
          <w:i w:val="0"/>
          <w:color w:val="000000"/>
          <w:sz w:val="24"/>
        </w:rPr>
        <w:t>= Variação Tarifária a Compensar (Superávit\Déficit), para os períodos “t”</w:t>
      </w:r>
      <w:r>
        <w:rPr>
          <w:rFonts w:ascii="Calibri" w:hAnsi="Calibri" w:eastAsia="Calibri"/>
          <w:b/>
          <w:i w:val="0"/>
          <w:color w:val="000000"/>
          <w:sz w:val="24"/>
        </w:rPr>
        <w:t>VF</w:t>
      </w:r>
      <w:r>
        <w:rPr>
          <w:rFonts w:ascii="Calibri" w:hAnsi="Calibri" w:eastAsia="Calibri"/>
          <w:b/>
          <w:i w:val="0"/>
          <w:color w:val="000000"/>
          <w:sz w:val="16"/>
        </w:rPr>
        <w:t>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Volume Faturado no período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Período do ciclo tarifário em anos, variando de 1 a 2. </w:t>
      </w:r>
    </w:p>
    <w:p>
      <w:pPr>
        <w:autoSpaceDN w:val="0"/>
        <w:tabs>
          <w:tab w:pos="9086" w:val="left"/>
        </w:tabs>
        <w:autoSpaceDE w:val="0"/>
        <w:widowControl/>
        <w:spacing w:line="194" w:lineRule="auto" w:before="726" w:after="0"/>
        <w:ind w:left="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sectPr>
          <w:pgSz w:w="11906" w:h="16838"/>
          <w:pgMar w:top="350" w:right="1102" w:bottom="548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588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 Tarifa Média Necessária – Investimentos (TMN</w:t>
      </w:r>
      <w:r>
        <w:rPr>
          <w:rFonts w:ascii="Calibri" w:hAnsi="Calibri" w:eastAsia="Calibri"/>
          <w:b/>
          <w:i w:val="0"/>
          <w:color w:val="000000"/>
          <w:sz w:val="16"/>
        </w:rPr>
        <w:t>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30"/>
      </w:tblGrid>
      <w:tr>
        <w:trPr>
          <w:trHeight w:hRule="exact" w:val="426"/>
        </w:trPr>
        <w:tc>
          <w:tcPr>
            <w:tcW w:type="dxa" w:w="51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6" w:lineRule="auto" w:before="0" w:after="0"/>
              <w:ind w:left="0" w:right="56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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 (tÞ1,2)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IRP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+ IRX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- REI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- RDF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</w:p>
        </w:tc>
      </w:tr>
      <w:tr>
        <w:trPr>
          <w:trHeight w:hRule="exact" w:val="426"/>
        </w:trPr>
        <w:tc>
          <w:tcPr>
            <w:tcW w:type="dxa" w:w="51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1701"/>
              <w:gridCol w:w="1701"/>
              <w:gridCol w:w="1701"/>
            </w:tblGrid>
            <w:tr>
              <w:trPr>
                <w:trHeight w:hRule="exact" w:val="450"/>
              </w:trPr>
              <w:tc>
                <w:tcPr>
                  <w:tcW w:type="dxa" w:w="1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0" w:after="0"/>
                    <w:ind w:left="16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TMN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I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=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54" w:after="0"/>
                    <w:ind w:left="0" w:right="0" w:firstLine="0"/>
                    <w:jc w:val="right"/>
                  </w:pPr>
                  <w:r>
                    <w:rPr>
                      <w:rFonts w:ascii="Symbol" w:hAnsi="Symbol" w:eastAsia="Symbol"/>
                      <w:b w:val="0"/>
                      <w:i w:val="0"/>
                      <w:color w:val="000000"/>
                      <w:sz w:val="24"/>
                    </w:rPr>
                    <w:t></w:t>
                  </w:r>
                </w:p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116" w:after="0"/>
                    <w:ind w:left="1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 xml:space="preserve"> (tÞ1,2)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VF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0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TMN</w:t>
      </w:r>
      <w:r>
        <w:rPr>
          <w:rFonts w:ascii="Calibri" w:hAnsi="Calibri" w:eastAsia="Calibri"/>
          <w:b/>
          <w:i w:val="0"/>
          <w:color w:val="000000"/>
          <w:sz w:val="16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Tarifa Média Necessária - Investimentos;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IRP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Investimentos – Recursos Próprios projetados para o período “t”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IRX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Investimentos com Recursos Externos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REI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Recursos Externos para Investimentos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RDF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Recursos de Disponibilidade Financeira projetados para o período “t” </w:t>
      </w:r>
      <w:r>
        <w:rPr>
          <w:rFonts w:ascii="Calibri" w:hAnsi="Calibri" w:eastAsia="Calibri"/>
          <w:b/>
          <w:i w:val="0"/>
          <w:color w:val="000000"/>
          <w:sz w:val="24"/>
        </w:rPr>
        <w:t>VF</w:t>
      </w:r>
      <w:r>
        <w:rPr>
          <w:rFonts w:ascii="Calibri" w:hAnsi="Calibri" w:eastAsia="Calibri"/>
          <w:b/>
          <w:i w:val="0"/>
          <w:color w:val="000000"/>
          <w:sz w:val="16"/>
        </w:rPr>
        <w:t>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Volume Faturado no período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Período do ciclo tarifário em anos, variando de 1 a 4. </w:t>
      </w:r>
    </w:p>
    <w:p>
      <w:pPr>
        <w:autoSpaceDN w:val="0"/>
        <w:autoSpaceDE w:val="0"/>
        <w:widowControl/>
        <w:spacing w:line="197" w:lineRule="auto" w:before="642" w:after="59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d) Tarifa Média Necessária – Total (TMN</w:t>
      </w:r>
      <w:r>
        <w:rPr>
          <w:rFonts w:ascii="Calibri" w:hAnsi="Calibri" w:eastAsia="Calibri"/>
          <w:b/>
          <w:i w:val="0"/>
          <w:color w:val="000000"/>
          <w:sz w:val="16"/>
        </w:rPr>
        <w:t>T</w:t>
      </w:r>
      <w:r>
        <w:rPr>
          <w:rFonts w:ascii="Calibri" w:hAnsi="Calibri" w:eastAsia="Calibri"/>
          <w:b/>
          <w:i w:val="0"/>
          <w:color w:val="000000"/>
          <w:sz w:val="24"/>
        </w:rPr>
        <w:t>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9430"/>
      </w:tblGrid>
      <w:tr>
        <w:trPr>
          <w:trHeight w:hRule="exact" w:val="360"/>
        </w:trPr>
        <w:tc>
          <w:tcPr>
            <w:tcW w:type="dxa" w:w="283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12" w:val="left"/>
              </w:tabs>
              <w:autoSpaceDE w:val="0"/>
              <w:widowControl/>
              <w:spacing w:line="197" w:lineRule="auto" w:before="72" w:after="0"/>
              <w:ind w:left="19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TMN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= </w:t>
            </w:r>
            <w:r>
              <w:tab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TMN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E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+ TMN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0" w:right="475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TMN</w:t>
      </w:r>
      <w:r>
        <w:rPr>
          <w:rFonts w:ascii="Calibri" w:hAnsi="Calibri" w:eastAsia="Calibri"/>
          <w:b/>
          <w:i w:val="0"/>
          <w:color w:val="000000"/>
          <w:sz w:val="16"/>
        </w:rPr>
        <w:t>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Tarifa Média Necessária - Total;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TMN</w:t>
      </w:r>
      <w:r>
        <w:rPr>
          <w:rFonts w:ascii="Calibri" w:hAnsi="Calibri" w:eastAsia="Calibri"/>
          <w:b/>
          <w:i w:val="0"/>
          <w:color w:val="000000"/>
          <w:sz w:val="16"/>
        </w:rPr>
        <w:t>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Tarifa Média Necessária – Exploração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TMN</w:t>
      </w:r>
      <w:r>
        <w:rPr>
          <w:rFonts w:ascii="Calibri" w:hAnsi="Calibri" w:eastAsia="Calibri"/>
          <w:b/>
          <w:i w:val="0"/>
          <w:color w:val="000000"/>
          <w:sz w:val="16"/>
        </w:rPr>
        <w:t>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Tarifa Média Necessária - Investimentos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e) Cálculo do Índice de Revisão Tarifária (IRevT) </w:t>
      </w:r>
    </w:p>
    <w:p>
      <w:pPr>
        <w:autoSpaceDN w:val="0"/>
        <w:autoSpaceDE w:val="0"/>
        <w:widowControl/>
        <w:spacing w:line="245" w:lineRule="auto" w:before="346" w:after="592"/>
        <w:ind w:left="0" w:right="20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 partir da apuração da Tarifa Média Necessária Total (TMN</w:t>
      </w:r>
      <w:r>
        <w:rPr>
          <w:rFonts w:ascii="Calibri" w:hAnsi="Calibri" w:eastAsia="Calibri"/>
          <w:b/>
          <w:i w:val="0"/>
          <w:color w:val="000000"/>
          <w:sz w:val="16"/>
        </w:rPr>
        <w:t>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o Índice de Revisão Tarifária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(IRevT) é calculado pela sua contraposição ao patamar de Receitas Tarifárias atualmente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percebido pelo prestador de serviços, representado pela Tarifa Média Praticada (TMP). Assim,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IRevT é calculado pela equação: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143"/>
        <w:gridCol w:w="3143"/>
        <w:gridCol w:w="3143"/>
      </w:tblGrid>
      <w:tr>
        <w:trPr>
          <w:trHeight w:hRule="exact" w:val="305"/>
        </w:trPr>
        <w:tc>
          <w:tcPr>
            <w:tcW w:type="dxa" w:w="114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TMN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</w:p>
        </w:tc>
        <w:tc>
          <w:tcPr>
            <w:tcW w:type="dxa" w:w="1124"/>
            <w:tcBorders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9"/>
        </w:trPr>
        <w:tc>
          <w:tcPr>
            <w:tcW w:type="dxa" w:w="114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IRevT =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4"/>
              </w:rPr>
              <w:t>(</w:t>
            </w:r>
          </w:p>
        </w:tc>
        <w:tc>
          <w:tcPr>
            <w:tcW w:type="dxa" w:w="85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3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TMP </w:t>
            </w:r>
          </w:p>
        </w:tc>
        <w:tc>
          <w:tcPr>
            <w:tcW w:type="dxa" w:w="1124"/>
            <w:tcBorders>
              <w:top w:sz="4.0" w:val="single" w:color="#000000"/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-1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44"/>
              </w:rPr>
              <w:t>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x 100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5"/>
        <w:gridCol w:w="4715"/>
      </w:tblGrid>
      <w:tr>
        <w:trPr>
          <w:trHeight w:hRule="exact" w:val="602"/>
        </w:trPr>
        <w:tc>
          <w:tcPr>
            <w:tcW w:type="dxa" w:w="6316"/>
            <w:vMerge w:val="restart"/>
            <w:tcBorders>
              <w:start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8" w:after="0"/>
              <w:ind w:left="0" w:right="259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IRevT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Índice de Revisão Tarifária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TMN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Tarifa Média Necessária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TMP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= Tarifa Média Praticada</w:t>
            </w:r>
          </w:p>
          <w:p>
            <w:pPr>
              <w:autoSpaceDN w:val="0"/>
              <w:autoSpaceDE w:val="0"/>
              <w:widowControl/>
              <w:spacing w:line="194" w:lineRule="auto" w:before="1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435 – 01/06/2022 </w:t>
            </w:r>
          </w:p>
        </w:tc>
        <w:tc>
          <w:tcPr>
            <w:tcW w:type="dxa" w:w="30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92"/>
        </w:trPr>
        <w:tc>
          <w:tcPr>
            <w:tcW w:type="dxa" w:w="4715"/>
            <w:vMerge/>
            <w:tcBorders>
              <w:start w:sz="4.0" w:val="single" w:color="#000000"/>
            </w:tcBorders>
          </w:tcPr>
          <w:p/>
        </w:tc>
        <w:tc>
          <w:tcPr>
            <w:tcW w:type="dxa" w:w="304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608" w:after="0"/>
              <w:ind w:left="0" w:right="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0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1.3 METODOLOGIA DE CÁLCULO DO ÍNDICE DE REAJUSTE DAS TARIFAS DE ÁGUA E ESGOTO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Reajuste Tarifário visa a atualização monetária periódica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esgoto, a ser aplicado somente após 12 meses da Revisão Tarifária. Com isso busca restabelecer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real da receita auferida pelo prestador dos serviços.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1.3.1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CÁLCULO DA RECEITA BASE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cálculo do Reajuste Tarifário será considerada a Receita Base em dois momentos distintos: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(i) </w:t>
      </w:r>
      <w:r>
        <w:rPr>
          <w:rFonts w:ascii="Calibri" w:hAnsi="Calibri" w:eastAsia="Calibri"/>
          <w:b w:val="0"/>
          <w:i w:val="0"/>
          <w:color w:val="000000"/>
          <w:sz w:val="24"/>
        </w:rPr>
        <w:t>Receita Base para Reajuste P</w:t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(definido nos doze meses anteriores), e </w:t>
      </w:r>
      <w:r>
        <w:rPr>
          <w:rFonts w:ascii="Calibri" w:hAnsi="Calibri" w:eastAsia="Calibri"/>
          <w:b w:val="0"/>
          <w:i/>
          <w:color w:val="000000"/>
          <w:sz w:val="24"/>
        </w:rPr>
        <w:t>(ii)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Receita Base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>Reajuste Corrigida P</w:t>
      </w:r>
      <w:r>
        <w:rPr>
          <w:rFonts w:ascii="Calibri" w:hAnsi="Calibri" w:eastAsia="Calibri"/>
          <w:b w:val="0"/>
          <w:i w:val="0"/>
          <w:color w:val="000000"/>
          <w:sz w:val="16"/>
        </w:rPr>
        <w:t>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 Receita Base (P</w:t>
      </w:r>
      <w:r>
        <w:rPr>
          <w:rFonts w:ascii="Calibri" w:hAnsi="Calibri" w:eastAsia="Calibri"/>
          <w:b/>
          <w:i w:val="0"/>
          <w:color w:val="000000"/>
          <w:sz w:val="16"/>
        </w:rPr>
        <w:t>0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):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56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 Receita Base para Reajuste é aquela definida nos doze meses anteriores (P</w:t>
      </w:r>
      <w:r>
        <w:rPr>
          <w:rFonts w:ascii="Calibri" w:hAnsi="Calibri" w:eastAsia="Calibri"/>
          <w:b w:val="0"/>
          <w:i w:val="0"/>
          <w:color w:val="000000"/>
          <w:sz w:val="16"/>
        </w:rPr>
        <w:t>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a proporção de gastos entre itens fixada no procedimento de Revisão Tarifária. </w:t>
      </w:r>
    </w:p>
    <w:p>
      <w:pPr>
        <w:autoSpaceDN w:val="0"/>
        <w:autoSpaceDE w:val="0"/>
        <w:widowControl/>
        <w:spacing w:line="197" w:lineRule="auto" w:before="54" w:after="588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Corresponde ao numerador da equação da Tarifa Média Necessária,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9430"/>
      </w:tblGrid>
      <w:tr>
        <w:trPr>
          <w:trHeight w:hRule="exact" w:val="414"/>
        </w:trPr>
        <w:tc>
          <w:tcPr>
            <w:tcW w:type="dxa" w:w="652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0.0" w:type="dxa"/>
            </w:tblPr>
            <w:tblGrid>
              <w:gridCol w:w="2174"/>
              <w:gridCol w:w="2174"/>
              <w:gridCol w:w="2174"/>
            </w:tblGrid>
            <w:tr>
              <w:trPr>
                <w:trHeight w:hRule="exact" w:val="364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RB (P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0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)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=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GEX</w:t>
                  </w:r>
                </w:p>
              </w:tc>
              <w:tc>
                <w:tcPr>
                  <w:tcW w:type="dxa" w:w="4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 xml:space="preserve">t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+ APP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+ IRP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 xml:space="preserve">t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+ IRX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- REI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- OR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- RDF + ou - VTC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RB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(P</w:t>
      </w:r>
      <w:r>
        <w:rPr>
          <w:rFonts w:ascii="Calibri" w:hAnsi="Calibri" w:eastAsia="Calibri"/>
          <w:b/>
          <w:i w:val="0"/>
          <w:color w:val="000000"/>
          <w:sz w:val="16"/>
        </w:rPr>
        <w:t>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Receita Base Período Zero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GEX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Gastos de Exploração projetadas para o período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APP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Amortização de Dívidas, Provisões e Precatórios projetados para o período “t” </w:t>
      </w:r>
      <w:r>
        <w:rPr>
          <w:rFonts w:ascii="Calibri" w:hAnsi="Calibri" w:eastAsia="Calibri"/>
          <w:b/>
          <w:i w:val="0"/>
          <w:color w:val="000000"/>
          <w:sz w:val="24"/>
        </w:rPr>
        <w:t>IRP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>= Investimentos – Recursos Próprios projetados para o período “t”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IRX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Investimentos com Recursos Externos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REI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Recursos Externos para Investimentos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OR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Outras receitas projetadas para o período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RDF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>= Recursos de Disponibilidade Financeira projetados para o período “t”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VTC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>= Variação Tarifária a Compensar (Superávit\Déficit), para os períodos “t”</w:t>
      </w:r>
      <w:r>
        <w:rPr>
          <w:rFonts w:ascii="Calibri" w:hAnsi="Calibri" w:eastAsia="Calibri"/>
          <w:b/>
          <w:i w:val="0"/>
          <w:color w:val="000000"/>
          <w:sz w:val="24"/>
        </w:rPr>
        <w:t>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Período do ciclo tarifário em anos, variando de 1 a 2.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375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sectPr>
          <w:pgSz w:w="11906" w:h="16838"/>
          <w:pgMar w:top="350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>Receita Base Corrigida(P</w:t>
      </w:r>
      <w:r>
        <w:rPr>
          <w:rFonts w:ascii="Calibri" w:hAnsi="Calibri" w:eastAsia="Calibri"/>
          <w:b/>
          <w:i w:val="0"/>
          <w:color w:val="000000"/>
          <w:sz w:val="16"/>
        </w:rPr>
        <w:t>1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): </w:t>
      </w:r>
    </w:p>
    <w:p>
      <w:pPr>
        <w:autoSpaceDN w:val="0"/>
        <w:autoSpaceDE w:val="0"/>
        <w:widowControl/>
        <w:spacing w:line="245" w:lineRule="auto" w:before="346" w:after="590"/>
        <w:ind w:left="0" w:right="20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 Receita Base Corrigida (P</w:t>
      </w:r>
      <w:r>
        <w:rPr>
          <w:rFonts w:ascii="Calibri" w:hAnsi="Calibri" w:eastAsia="Calibri"/>
          <w:b w:val="0"/>
          <w:i w:val="0"/>
          <w:color w:val="000000"/>
          <w:sz w:val="16"/>
        </w:rPr>
        <w:t>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é obtida pela aplicação dos respectivos índices inflacionários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cada um dos Valores de Referência das contas do Rol de Contas Regulatórias, obedecida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proporção estabelecida no processo de Revisão Tarifária, conforme segue: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15"/>
        <w:gridCol w:w="4715"/>
      </w:tblGrid>
      <w:tr>
        <w:trPr>
          <w:trHeight w:hRule="exact" w:val="412"/>
        </w:trPr>
        <w:tc>
          <w:tcPr>
            <w:tcW w:type="dxa" w:w="1134"/>
            <w:tcBorders>
              <w:start w:sz="4.0" w:val="single" w:color="#000000"/>
              <w:top w:sz="4.0" w:val="single" w:color="#000000"/>
              <w:end w:sz="3.999999999999886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RB (P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1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) = </w:t>
            </w:r>
          </w:p>
        </w:tc>
        <w:tc>
          <w:tcPr>
            <w:tcW w:type="dxa" w:w="5388"/>
            <w:tcBorders>
              <w:start w:sz="3.999999999999886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GEX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+ APP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 xml:space="preserve">t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+ IRP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+ IRX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- REI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- 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- RDF + ou - VTC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6"/>
              </w:rPr>
              <w:t>t</w:t>
            </w:r>
          </w:p>
        </w:tc>
      </w:tr>
    </w:tbl>
    <w:p>
      <w:pPr>
        <w:autoSpaceDN w:val="0"/>
        <w:autoSpaceDE w:val="0"/>
        <w:widowControl/>
        <w:spacing w:line="245" w:lineRule="auto" w:before="344" w:after="0"/>
        <w:ind w:left="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Onde: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RB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(P</w:t>
      </w:r>
      <w:r>
        <w:rPr>
          <w:rFonts w:ascii="Calibri" w:hAnsi="Calibri" w:eastAsia="Calibri"/>
          <w:b/>
          <w:i w:val="0"/>
          <w:color w:val="000000"/>
          <w:sz w:val="16"/>
        </w:rPr>
        <w:t>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= Receita Base Corrigida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GEX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Gastos de Exploração projetadas para o período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APP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Amortização de Dívidas, Provisões e Precatórios projetados para o período “t” </w:t>
      </w:r>
      <w:r>
        <w:rPr>
          <w:rFonts w:ascii="Calibri" w:hAnsi="Calibri" w:eastAsia="Calibri"/>
          <w:b/>
          <w:i w:val="0"/>
          <w:color w:val="000000"/>
          <w:sz w:val="24"/>
        </w:rPr>
        <w:t>IRP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Investimentos – Recursos Próprios projetados para o período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IRX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Investimentos com Recursos Externos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REI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Recursos Externos para Investimentos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OR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Outras receitas projetadas para o período “t”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RDF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>= Recursos de Disponibilidade Financeira projetados para o período “t”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VTC</w:t>
      </w:r>
      <w:r>
        <w:rPr>
          <w:rFonts w:ascii="Calibri" w:hAnsi="Calibri" w:eastAsia="Calibri"/>
          <w:b/>
          <w:i w:val="0"/>
          <w:color w:val="000000"/>
          <w:sz w:val="16"/>
        </w:rPr>
        <w:t xml:space="preserve">t </w:t>
      </w:r>
      <w:r>
        <w:rPr>
          <w:rFonts w:ascii="Calibri" w:hAnsi="Calibri" w:eastAsia="Calibri"/>
          <w:b w:val="0"/>
          <w:i w:val="0"/>
          <w:color w:val="000000"/>
          <w:sz w:val="24"/>
        </w:rPr>
        <w:t>= Variação Tarifária a Compensar (Superávit\Déficit), para os períodos “t”</w:t>
      </w:r>
      <w:r>
        <w:rPr>
          <w:rFonts w:ascii="Calibri" w:hAnsi="Calibri" w:eastAsia="Calibri"/>
          <w:b/>
          <w:i w:val="0"/>
          <w:color w:val="000000"/>
          <w:sz w:val="24"/>
        </w:rPr>
        <w:t>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= Período do ciclo tarifário em anos, variando de 1 a 2. </w:t>
      </w:r>
    </w:p>
    <w:p>
      <w:pPr>
        <w:autoSpaceDN w:val="0"/>
        <w:autoSpaceDE w:val="0"/>
        <w:widowControl/>
        <w:spacing w:line="197" w:lineRule="auto" w:before="638" w:after="594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Assim, o </w:t>
      </w:r>
      <w:r>
        <w:rPr>
          <w:rFonts w:ascii="Calibri" w:hAnsi="Calibri" w:eastAsia="Calibri"/>
          <w:b/>
          <w:i w:val="0"/>
          <w:color w:val="000000"/>
          <w:sz w:val="24"/>
        </w:rPr>
        <w:t>Índice de Reajuste Tarifário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dado pela seguinte expressão: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5.99999999999994" w:type="dxa"/>
      </w:tblPr>
      <w:tblGrid>
        <w:gridCol w:w="9430"/>
      </w:tblGrid>
      <w:tr>
        <w:trPr>
          <w:trHeight w:hRule="exact" w:val="596"/>
        </w:trPr>
        <w:tc>
          <w:tcPr>
            <w:tcW w:type="dxa" w:w="374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0.0" w:type="dxa"/>
            </w:tblPr>
            <w:tblGrid>
              <w:gridCol w:w="1871"/>
              <w:gridCol w:w="1871"/>
            </w:tblGrid>
            <w:tr>
              <w:trPr>
                <w:trHeight w:hRule="exact" w:val="544"/>
              </w:trPr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IReajT =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40"/>
                    </w:rPr>
                    <w:t>(</w:t>
                  </w:r>
                </w:p>
              </w:tc>
              <w:tc>
                <w:tcPr>
                  <w:tcW w:type="dxa" w:w="2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96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  <w:u w:val="single"/>
                    </w:rPr>
                    <w:t>RB (P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  <w:u w:val="single"/>
                    </w:rPr>
                    <w:t>1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  <w:u w:val="single"/>
                    </w:rPr>
                    <w:t>)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RB (P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16"/>
                    </w:rPr>
                    <w:t>0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)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-1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40"/>
                    </w:rPr>
                    <w:t>)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 x 100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0" w:right="57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IReajT =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Índice de Reajuste Tarifário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RB (P</w:t>
      </w:r>
      <w:r>
        <w:rPr>
          <w:rFonts w:ascii="Calibri" w:hAnsi="Calibri" w:eastAsia="Calibri"/>
          <w:b/>
          <w:i w:val="0"/>
          <w:color w:val="000000"/>
          <w:sz w:val="16"/>
        </w:rPr>
        <w:t>1</w:t>
      </w:r>
      <w:r>
        <w:rPr>
          <w:rFonts w:ascii="Calibri" w:hAnsi="Calibri" w:eastAsia="Calibri"/>
          <w:b/>
          <w:i w:val="0"/>
          <w:color w:val="000000"/>
          <w:sz w:val="24"/>
        </w:rPr>
        <w:t>) =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Receita Base Corrigida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RB (P</w:t>
      </w:r>
      <w:r>
        <w:rPr>
          <w:rFonts w:ascii="Calibri" w:hAnsi="Calibri" w:eastAsia="Calibri"/>
          <w:b/>
          <w:i w:val="0"/>
          <w:color w:val="000000"/>
          <w:sz w:val="16"/>
        </w:rPr>
        <w:t>0</w:t>
      </w:r>
      <w:r>
        <w:rPr>
          <w:rFonts w:ascii="Calibri" w:hAnsi="Calibri" w:eastAsia="Calibri"/>
          <w:b/>
          <w:i w:val="0"/>
          <w:color w:val="000000"/>
          <w:sz w:val="24"/>
        </w:rPr>
        <w:t>) =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Receita Base Período Zero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46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sectPr>
          <w:pgSz w:w="11906" w:h="16838"/>
          <w:pgMar w:top="350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29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1.3.2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COMPOSIÇÃO E DESCRIÇÃO DE ÍNDICES INFLACIONÁRIOS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14"/>
        <w:gridCol w:w="4714"/>
      </w:tblGrid>
      <w:tr>
        <w:trPr>
          <w:trHeight w:hRule="exact" w:val="420"/>
        </w:trPr>
        <w:tc>
          <w:tcPr>
            <w:tcW w:type="dxa" w:w="6904"/>
            <w:tcBorders>
              <w:start w:sz="8.0" w:val="single" w:color="#000000"/>
              <w:top w:sz="7.199999999999932" w:val="single" w:color="#000000"/>
              <w:end w:sz="8.0" w:val="single" w:color="#000000"/>
              <w:bottom w:sz="7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ITEM </w:t>
            </w:r>
          </w:p>
        </w:tc>
        <w:tc>
          <w:tcPr>
            <w:tcW w:type="dxa" w:w="2432"/>
            <w:tcBorders>
              <w:start w:sz="8.0" w:val="single" w:color="#000000"/>
              <w:top w:sz="7.199999999999932" w:val="single" w:color="#000000"/>
              <w:end w:sz="8.0" w:val="single" w:color="#000000"/>
              <w:bottom w:sz="7.199999999999818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ÍNDICE DE CORREÇÃO </w:t>
            </w:r>
          </w:p>
        </w:tc>
      </w:tr>
      <w:tr>
        <w:trPr>
          <w:trHeight w:hRule="exact" w:val="414"/>
        </w:trPr>
        <w:tc>
          <w:tcPr>
            <w:tcW w:type="dxa" w:w="9336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DESPESAS DE EXPLORAÇÃO (DEX) </w:t>
            </w:r>
          </w:p>
        </w:tc>
      </w:tr>
      <w:tr>
        <w:trPr>
          <w:trHeight w:hRule="exact" w:val="418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3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Pessoal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INPC </w:t>
            </w:r>
          </w:p>
        </w:tc>
      </w:tr>
      <w:tr>
        <w:trPr>
          <w:trHeight w:hRule="exact" w:val="416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3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Materiais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8"/>
        </w:trPr>
        <w:tc>
          <w:tcPr>
            <w:tcW w:type="dxa" w:w="690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de Processo (Produtos Químicos) </w:t>
            </w:r>
          </w:p>
        </w:tc>
        <w:tc>
          <w:tcPr>
            <w:tcW w:type="dxa" w:w="243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IGP-M </w:t>
            </w:r>
          </w:p>
        </w:tc>
      </w:tr>
      <w:tr>
        <w:trPr>
          <w:trHeight w:hRule="exact" w:val="416"/>
        </w:trPr>
        <w:tc>
          <w:tcPr>
            <w:tcW w:type="dxa" w:w="6904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de Consumo </w:t>
            </w:r>
          </w:p>
        </w:tc>
        <w:tc>
          <w:tcPr>
            <w:tcW w:type="dxa" w:w="243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</w:t>
            </w:r>
          </w:p>
        </w:tc>
      </w:tr>
      <w:tr>
        <w:trPr>
          <w:trHeight w:hRule="exact" w:val="418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Materiais de Manutenção e Conservação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INCC-DI </w:t>
            </w:r>
          </w:p>
        </w:tc>
      </w:tr>
      <w:tr>
        <w:trPr>
          <w:trHeight w:hRule="exact" w:val="418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Combustíveis e Lubrificantes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IPCA-SP Transp. </w:t>
            </w:r>
          </w:p>
        </w:tc>
      </w:tr>
      <w:tr>
        <w:trPr>
          <w:trHeight w:hRule="exact" w:val="418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Materiais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</w:t>
            </w:r>
          </w:p>
        </w:tc>
      </w:tr>
      <w:tr>
        <w:trPr>
          <w:trHeight w:hRule="exact" w:val="416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3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de Terceiros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6904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de Terceiros - Manutenção e Conservação </w:t>
            </w:r>
          </w:p>
        </w:tc>
        <w:tc>
          <w:tcPr>
            <w:tcW w:type="dxa" w:w="2432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</w:t>
            </w:r>
          </w:p>
        </w:tc>
      </w:tr>
      <w:tr>
        <w:trPr>
          <w:trHeight w:hRule="exact" w:val="418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Aluguéis Diversos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IGP-M </w:t>
            </w:r>
          </w:p>
        </w:tc>
      </w:tr>
      <w:tr>
        <w:trPr>
          <w:trHeight w:hRule="exact" w:val="416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Concessão Tratamento de Esgoto/Parceria Público-Privada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</w:t>
            </w:r>
          </w:p>
        </w:tc>
      </w:tr>
      <w:tr>
        <w:trPr>
          <w:trHeight w:hRule="exact" w:val="416"/>
        </w:trPr>
        <w:tc>
          <w:tcPr>
            <w:tcW w:type="dxa" w:w="690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64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Serviços de Terceiros </w:t>
            </w:r>
          </w:p>
        </w:tc>
        <w:tc>
          <w:tcPr>
            <w:tcW w:type="dxa" w:w="243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</w:t>
            </w:r>
          </w:p>
        </w:tc>
      </w:tr>
      <w:tr>
        <w:trPr>
          <w:trHeight w:hRule="exact" w:val="418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3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Energia Elétrica (R$)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ANEEL </w:t>
            </w:r>
          </w:p>
        </w:tc>
      </w:tr>
      <w:tr>
        <w:trPr>
          <w:trHeight w:hRule="exact" w:val="418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3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Outras Despesas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</w:t>
            </w:r>
          </w:p>
        </w:tc>
      </w:tr>
      <w:tr>
        <w:trPr>
          <w:trHeight w:hRule="exact" w:val="418"/>
        </w:trPr>
        <w:tc>
          <w:tcPr>
            <w:tcW w:type="dxa" w:w="9336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AMORTIZAÇÃO DE DÍVIDAS, PROVISÕES E PRECATÓRIOS (APP) </w:t>
            </w:r>
          </w:p>
        </w:tc>
      </w:tr>
      <w:tr>
        <w:trPr>
          <w:trHeight w:hRule="exact" w:val="414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3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Amortização de Dívidas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</w:t>
            </w:r>
          </w:p>
        </w:tc>
      </w:tr>
      <w:tr>
        <w:trPr>
          <w:trHeight w:hRule="exact" w:val="420"/>
        </w:trPr>
        <w:tc>
          <w:tcPr>
            <w:tcW w:type="dxa" w:w="6904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3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Provisões </w:t>
            </w:r>
          </w:p>
        </w:tc>
        <w:tc>
          <w:tcPr>
            <w:tcW w:type="dxa" w:w="243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</w:t>
            </w:r>
          </w:p>
        </w:tc>
      </w:tr>
      <w:tr>
        <w:trPr>
          <w:trHeight w:hRule="exact" w:val="416"/>
        </w:trPr>
        <w:tc>
          <w:tcPr>
            <w:tcW w:type="dxa" w:w="690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34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Precatórios, Sentenças e Acordos Judiciais </w:t>
            </w:r>
          </w:p>
        </w:tc>
        <w:tc>
          <w:tcPr>
            <w:tcW w:type="dxa" w:w="243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</w:t>
            </w:r>
          </w:p>
        </w:tc>
      </w:tr>
      <w:tr>
        <w:trPr>
          <w:trHeight w:hRule="exact" w:val="418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INVESTIMENTOS COM RECURSOS PRÓPRIOS (IRP)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INCC-DI </w:t>
            </w:r>
          </w:p>
        </w:tc>
      </w:tr>
      <w:tr>
        <w:trPr>
          <w:trHeight w:hRule="exact" w:val="414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INVESTIMENTOS COM RECURSOS EXTERNOS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INCC-DI </w:t>
            </w:r>
          </w:p>
        </w:tc>
      </w:tr>
      <w:tr>
        <w:trPr>
          <w:trHeight w:hRule="exact" w:val="420"/>
        </w:trPr>
        <w:tc>
          <w:tcPr>
            <w:tcW w:type="dxa" w:w="690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RECURSOS EXTERNOS PARA INVESTIMENTOS </w:t>
            </w:r>
          </w:p>
        </w:tc>
        <w:tc>
          <w:tcPr>
            <w:tcW w:type="dxa" w:w="243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</w:t>
            </w:r>
          </w:p>
        </w:tc>
      </w:tr>
      <w:tr>
        <w:trPr>
          <w:trHeight w:hRule="exact" w:val="416"/>
        </w:trPr>
        <w:tc>
          <w:tcPr>
            <w:tcW w:type="dxa" w:w="690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OUTRAS RECEITAS (OR) </w:t>
            </w:r>
          </w:p>
        </w:tc>
        <w:tc>
          <w:tcPr>
            <w:tcW w:type="dxa" w:w="243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</w:t>
            </w:r>
          </w:p>
        </w:tc>
      </w:tr>
      <w:tr>
        <w:trPr>
          <w:trHeight w:hRule="exact" w:val="418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RECURSOS DE DISPONIBILIDADE FINANCEIRA (RDF)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</w:t>
            </w:r>
          </w:p>
        </w:tc>
      </w:tr>
      <w:tr>
        <w:trPr>
          <w:trHeight w:hRule="exact" w:val="418"/>
        </w:trPr>
        <w:tc>
          <w:tcPr>
            <w:tcW w:type="dxa" w:w="690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VARIAÇÕES TARIFÁRIAS A COMPENSAR (VTC) </w:t>
            </w:r>
          </w:p>
        </w:tc>
        <w:tc>
          <w:tcPr>
            <w:tcW w:type="dxa" w:w="24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IPCA </w:t>
            </w:r>
          </w:p>
        </w:tc>
      </w:tr>
    </w:tbl>
    <w:p>
      <w:pPr>
        <w:autoSpaceDN w:val="0"/>
        <w:autoSpaceDE w:val="0"/>
        <w:widowControl/>
        <w:spacing w:line="245" w:lineRule="auto" w:before="634" w:after="0"/>
        <w:ind w:left="0" w:right="20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Agência Reguladora PCJ (ARES-PCJ) selecionou alguns índices específicos para cada grupo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despesas, a fim de utilizá-los quando da avaliação e cálculos da correção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realizada após 12 (doze) meses da aplicação da Revisão Tarifária, sendo: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sectPr>
          <w:pgSz w:w="11906" w:h="16838"/>
          <w:pgMar w:top="350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29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</w:rPr>
        <w:t>IPCA – Índice Nacional de Preços ao Consumidor Amplo (IBGE)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Principal métrica macroeconômica da variação do custo de vida da população cujo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rendimento varie de 1 a 40 salários-mínimos (qualquer que seja a fonte desses rendimentos).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IPCA agrega a vasta maioria dos itens que constituem a cesta de consumo da população em geral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e, em razão disso, constitui-se como a principal referência para o regime de metas de inflação.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apropriado para corrigir itens que sejam compostos por uma quantidade ampla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heterogênea de bens e serviços.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IPCA-SP Transp. – Índice Nacional de Preços ao Consumidor Amplo – Transporte (IBGE)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Trata-se de um dos principais indexadores que compõem o IPCA nacional “cheio”. Ele 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considerado o melhor indicador para a variação dos preços dos combustíveis e lubrificantes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Região Metropolitana de São Paulo.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INPC – Índice Nacional de Preços ao Consumidor (IBGE)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principal objetivo deste índice é a correção do poder de compra dos assalariados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recebem entre 1 e 5 salários-mínimos mensais. Ele capta, portanto, a variação do custo de vida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daqueles que recebem, a valores de 2020, entre R$ 1.039 e R$ 5.195 mensais. Dado que 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intervalo concentra a maior porção dos assalariados do setor de saneamento, optou-se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utilizá-lo.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d)</w:t>
      </w:r>
      <w:r>
        <w:rPr>
          <w:rFonts w:ascii="Calibri" w:hAnsi="Calibri" w:eastAsia="Calibri"/>
          <w:b/>
          <w:i w:val="0"/>
          <w:color w:val="000000"/>
          <w:sz w:val="24"/>
        </w:rPr>
        <w:t>IGP-M – Índice Geral de Preços – Mensal (FGV / IBRE)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Concebido como um índice bastante amplo que conseguisse captar a variação de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observados em etapas distintas do processo produtivo em escala nacional, ele é 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ponderada do IPA (60%), IPC (30%) e INCC (10%).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ser afetado por preços dados em escala internacional, ele é adequado para a correção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itens afetados pela variação cambial (dólar / real). É, além disso, um indexador bastante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comum de determinados tipos de contratos, tais como os de aluguéis.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e)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INCC-DI MS - Índice Nacional de Custo da Construção - Materiais e Serviços (FGV / IBRE)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Iniciado na década de 1950 e retroagido até a anterior, trata-se de um índice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 a evolução dos preços observados dentro da construção civil – e, em particular,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habitacional.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2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0" w:right="22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Pode-se obter seu subcomponente, INCC-DI MS, este considerado a melhor aproximação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determinados itens observados no saneamento, tais como o gasto com materiais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e conservação.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f)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CONTRATO – Índice Composto ou Simples definido em Contrato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Contrato de Parceria Público-Privada (Contrato de PPP) possui uma regra específica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reajuste dos serviços.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Item a ser corrigido por CONTRATO, em processo de Reajuste Tarifário: Parcerias Público-</w:t>
      </w:r>
      <w:r>
        <w:rPr>
          <w:rFonts w:ascii="Calibri" w:hAnsi="Calibri" w:eastAsia="Calibri"/>
          <w:b w:val="0"/>
          <w:i w:val="0"/>
          <w:color w:val="000000"/>
          <w:sz w:val="24"/>
        </w:rPr>
        <w:t>Privada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g)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ANEEL – Agência Nacional de Energia Elétrica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568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Agência Nacional de Energia Elétrica – ANEEL, é responsável pelos reajustes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energia elétrica e, anualmente, emite resolução específica sobre o reajuste para cada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pela distribuição, tais como CPFL, Elektro etc., respeitando a data-base de cada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delas.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98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sectPr>
          <w:pgSz w:w="11906" w:h="16838"/>
          <w:pgMar w:top="352" w:right="106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0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435, DE 01 DE JUNHO DE 2022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RELAÇÃO DE DOCUMENTOS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da solicitação de reajuste ou revisão tarifária, o prestador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encaminhar, à ARES-PCJ, os seguintes documentos: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1 - PARA PROCESSOS DE REVISÕES TARIFÁRIAS: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- Ofício de resposta e manifestação de revisão tarifária, com diagnostico da atual situação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principais pontos que deverão ser considerados pela ARES-PCJ;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- Cópia de Lei ou Decreto de criação do Conselho de Regulação e Controle Social - CRCS;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- Cópia do Decreto ou Portaria de nomeação dos membros do Conselho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 – CRCS;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IV - O Sistema de Gestão Regulatória devidamente preenchido até o último mês da solicitação.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itens do sistema de gestão regulatória: </w:t>
      </w:r>
    </w:p>
    <w:p>
      <w:pPr>
        <w:autoSpaceDN w:val="0"/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Arquivos XML contábeis, com informações do Balanço Patrimonial, Demonstrativo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Resultado e Fluxo de Caixa;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energia elétrica;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comerciais;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colaboradores;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Lançamentos mensais extras (para prestadores que utilizam contabilidade pública).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Nota: Os arquivos XML enviados pelos prestadores que utilizam contabilidade pública são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mesmos enviados ao Tribunal de Contas do Estado de São Paulo pelo sistema AUDESP. </w:t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 - Estrutura tarifária completa e atualizada, quando tratar-se de primeira revisão ou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tarifário a ser realizado pela ARES-PCJ para este prestador.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 - Tabela atualizada dos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prestador, quando tratar-se de primeira revisão ou reajuste tarifário a ser realizado pela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para este prestador. Quando solicitada inclusão ou revisão dos preços públicos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apresentada composição dos custos;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 - Para os prestadores que utilizam a Contabilidade Pública: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568" w:right="2448" w:hanging="284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exercício imediatamente anterior ao pedido: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Balanços Orçamentário;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Balanço Financeiro;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Balanço Patrimonial;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Notas Explicativas;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Balancete Contábil;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Balancete da Receitas Orçamentárias e Extraorçamentárias; </w:t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Balancete das Despesas Orçamentárias e Extraorçamentárias; </w:t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Relatórios mensais de valores faturados água 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Relatórios mensais de volumes faturados água e esgoto. </w:t>
      </w:r>
    </w:p>
    <w:p>
      <w:pPr>
        <w:autoSpaceDN w:val="0"/>
        <w:autoSpaceDE w:val="0"/>
        <w:widowControl/>
        <w:spacing w:line="245" w:lineRule="auto" w:before="348" w:after="0"/>
        <w:ind w:left="568" w:right="2448" w:hanging="284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imediatamente anterior ao pedido: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Saldo de Caixa;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Balancete Contábil;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Balancete das Receitas Orçamentárias e Extraorçamentárias; </w:t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Balancete das Despesas Orçamentárias e Extraorçamentárias; </w:t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Relatórios mensais dos valores faturados água e esgoto; </w:t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Relatórios mensais dos volumes faturados água e esgoto.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VIII - Para os prestadores com Contabilidade Comercial: </w:t>
      </w:r>
    </w:p>
    <w:p>
      <w:pPr>
        <w:autoSpaceDN w:val="0"/>
        <w:autoSpaceDE w:val="0"/>
        <w:widowControl/>
        <w:spacing w:line="245" w:lineRule="auto" w:before="346" w:after="0"/>
        <w:ind w:left="568" w:right="3024" w:hanging="284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exercício imediatamente anterior ao pedido: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Balanço Patrimonial;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Demonstração do Resultado;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Demonstração dos Fluxos de Caixa;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Notas Explicativas;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 da auditoria independente;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Balancetes Contábeis;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Relatórios mensais de volumes faturados água e esgoto. </w:t>
      </w:r>
    </w:p>
    <w:p>
      <w:pPr>
        <w:autoSpaceDN w:val="0"/>
        <w:autoSpaceDE w:val="0"/>
        <w:widowControl/>
        <w:spacing w:line="245" w:lineRule="auto" w:before="346" w:after="0"/>
        <w:ind w:left="568" w:right="3024" w:hanging="284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mês imediatamente anterior ao pedido: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Demonstração dos Fluxos de Caixa;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Balancetes contábeis e Demonstrativo de Resultados; </w:t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Relatórios mensais de volumes faturados água e esgoto.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IX - Relatórios mês a mês, dos valores faturados e não arrecadados, referentes às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esgoto, dos últimos 48 meses anteriores ao pedido de revisão tarifária, com posição atual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dívida. </w:t>
      </w:r>
    </w:p>
    <w:p>
      <w:pPr>
        <w:autoSpaceDN w:val="0"/>
        <w:autoSpaceDE w:val="0"/>
        <w:widowControl/>
        <w:spacing w:line="245" w:lineRule="auto" w:before="346" w:after="0"/>
        <w:ind w:left="568" w:right="5328" w:hanging="568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- Percentuais de atendimento público: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tratada e distribuída;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e afastamento de esgoto;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2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sectPr>
          <w:pgSz w:w="11906" w:h="16838"/>
          <w:pgMar w:top="352" w:right="106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 - Após a ARES-PCJ encaminhar a planilha de custos preenchida, o prestador deverá encaminhar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>“</w:t>
      </w:r>
      <w:r>
        <w:rPr>
          <w:rFonts w:ascii="Calibri" w:hAnsi="Calibri" w:eastAsia="Calibri"/>
          <w:b/>
          <w:i/>
          <w:color w:val="000000"/>
          <w:sz w:val="24"/>
        </w:rPr>
        <w:t>Projeção de Gastos para o Próximo Ciclo Tarifário”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contendo a base de dados e fórmulas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cálculos utilizados para as projeções realizadas, com as devidas justificativas, quando couber.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XII - Plano de Investimentos, com planilhas detalhadas para ações como aquisição de bens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móveis, equipamentos, veículos, projetos, obras e outras intervenções, com o seguinte conteúdo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mínimo: </w:t>
      </w:r>
    </w:p>
    <w:p>
      <w:pPr>
        <w:autoSpaceDN w:val="0"/>
        <w:autoSpaceDE w:val="0"/>
        <w:widowControl/>
        <w:spacing w:line="197" w:lineRule="auto" w:before="346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previstos: </w:t>
      </w:r>
    </w:p>
    <w:p>
      <w:pPr>
        <w:autoSpaceDN w:val="0"/>
        <w:autoSpaceDE w:val="0"/>
        <w:widowControl/>
        <w:spacing w:line="245" w:lineRule="auto" w:before="296" w:after="0"/>
        <w:ind w:left="5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do processo de contratação (se licitada, já em licitação ou programada) 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de início e término de cada investimento;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total do investimento com recursos próprios e de terceiros (PAC, Fehidro, 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financiamentos, com indicação da fonte de recursos e previsões de desembolsos),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existente, para cada investimento;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do processo de financiamento, quando aplicável (requisitado, contratado,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liberado);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e situação de projetos executivos e/ou licenciamentos ambientais,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necessários. </w:t>
      </w:r>
    </w:p>
    <w:p>
      <w:pPr>
        <w:autoSpaceDN w:val="0"/>
        <w:autoSpaceDE w:val="0"/>
        <w:widowControl/>
        <w:spacing w:line="245" w:lineRule="auto" w:before="4" w:after="0"/>
        <w:ind w:left="5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Desenvolvimento de Projetos: memorial descritivo ou cronograma físico-financeiro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indicação se há previsão no PMSB para a obra fim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>Obras: status de licenciamento (se aplicável), memorial descritivo ou cronograma físico-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e indicação se há previsão no PMSB para a obra fim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Equipamentos: cotação de mercado, acompanhada de termo de referência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especificação técnica </w:t>
      </w:r>
    </w:p>
    <w:p>
      <w:pPr>
        <w:autoSpaceDN w:val="0"/>
        <w:autoSpaceDE w:val="0"/>
        <w:widowControl/>
        <w:spacing w:line="199" w:lineRule="auto" w:before="638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em execução: </w:t>
      </w:r>
    </w:p>
    <w:p>
      <w:pPr>
        <w:autoSpaceDN w:val="0"/>
        <w:autoSpaceDE w:val="0"/>
        <w:widowControl/>
        <w:spacing w:line="245" w:lineRule="auto" w:before="296" w:after="0"/>
        <w:ind w:left="5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Percentual já executado e o valor liquidado de cada investimento, considerando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desembolsos de recursos próprios e de terceiros, para cada investimento;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de término de cada investimento. </w:t>
      </w:r>
    </w:p>
    <w:p>
      <w:pPr>
        <w:autoSpaceDN w:val="0"/>
        <w:autoSpaceDE w:val="0"/>
        <w:widowControl/>
        <w:spacing w:line="245" w:lineRule="auto" w:before="638" w:after="0"/>
        <w:ind w:left="284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solicitados em reajustes e revisões anteriores e já concluídos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 apresentados, para cada investimento, data de conclusão, situação operacional,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desembolso total (com recursos próprios e de terceiros) e resultados obtidos/planejados. </w:t>
      </w:r>
    </w:p>
    <w:p>
      <w:pPr>
        <w:autoSpaceDN w:val="0"/>
        <w:autoSpaceDE w:val="0"/>
        <w:widowControl/>
        <w:spacing w:line="245" w:lineRule="auto" w:before="638" w:after="0"/>
        <w:ind w:left="284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investimentos, seus valores e previsões deverão estar em consonância com os previstos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Plano Municipal de Saneamento Básico – PMSB e o Plano Plurianual – PPA do Município.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previsão de investimentos não relacionados no PMSB e PPA deverá ser expressamente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justificada, inclusive sobre suas implicações nas demais ações previstas no planejamento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53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9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XIV - Quando a revisão implicar em reestruturação tarifária, o prestador também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apresentar: </w:t>
      </w:r>
    </w:p>
    <w:p>
      <w:pPr>
        <w:autoSpaceDN w:val="0"/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Histograma de faturamento, dos últimos três meses, detalhados por categorias, por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consumido, quantidade de economias e valor faturado água e esgoto; </w:t>
      </w:r>
    </w:p>
    <w:p>
      <w:pPr>
        <w:autoSpaceDN w:val="0"/>
        <w:autoSpaceDE w:val="0"/>
        <w:widowControl/>
        <w:spacing w:line="245" w:lineRule="auto" w:before="34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método de rateio deverá ser mencionado e justificado com todos os elementos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definiram os percentuais utilizados.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2 - PARA PROCESSOS DE REAJUSTE TARIFÁRIO: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 - Quando da solicitação de reajuste tarifário, o prestador dos serviços de saneamento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encaminhar, à ARES-PCJ, os seguintes documentos: </w:t>
      </w:r>
    </w:p>
    <w:p>
      <w:pPr>
        <w:autoSpaceDN w:val="0"/>
        <w:autoSpaceDE w:val="0"/>
        <w:widowControl/>
        <w:spacing w:line="197" w:lineRule="auto" w:before="34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Ofício de solicitação de reajuste; </w:t>
      </w:r>
    </w:p>
    <w:p>
      <w:pPr>
        <w:autoSpaceDN w:val="0"/>
        <w:autoSpaceDE w:val="0"/>
        <w:widowControl/>
        <w:spacing w:line="197" w:lineRule="auto" w:before="346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de Lei ou Decreto de criação do Conselho de Regulação e Controle Social - CRCS; </w:t>
      </w:r>
    </w:p>
    <w:p>
      <w:pPr>
        <w:autoSpaceDN w:val="0"/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Cópia do Decreto ou Portaria de nomeação dos membros do Conselho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Social – CRCS; </w:t>
      </w:r>
    </w:p>
    <w:p>
      <w:pPr>
        <w:autoSpaceDN w:val="0"/>
        <w:autoSpaceDE w:val="0"/>
        <w:widowControl/>
        <w:spacing w:line="245" w:lineRule="auto" w:before="346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Sistema de Gestão Regulatória (SONAR) deverá estar devidamente preenchido até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último mês da solicitação. São itens do sistema de gestão regulatória: </w:t>
      </w:r>
    </w:p>
    <w:p>
      <w:pPr>
        <w:autoSpaceDN w:val="0"/>
        <w:autoSpaceDE w:val="0"/>
        <w:widowControl/>
        <w:spacing w:line="250" w:lineRule="auto" w:before="298" w:after="0"/>
        <w:ind w:left="568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Arquivos XML contábeis, com informações do Balanço Patrimonial, DRE e Fluxo de caixa;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energia elétrica;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água;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esgoto;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comerciais;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Dados de colaboradores; e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Lançamentos mensais extras (para prestadores que utilizam contabilidade pública). </w:t>
      </w:r>
    </w:p>
    <w:p>
      <w:pPr>
        <w:autoSpaceDN w:val="0"/>
        <w:autoSpaceDE w:val="0"/>
        <w:widowControl/>
        <w:spacing w:line="245" w:lineRule="auto" w:before="638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 - O prestador deverá manter em seus arquivos toda cópia de todas as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documentos, bem como a memória de cálculo utilizada para as projeções, que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solicitadas a qualquer momento pela ARES-PCJ.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XVII - A ARES-PCJ reserva o direito de solicitar outros documentos e informações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complementares, que julgar necessário, para fins de cálculo de reajuste ou revisão tarifária, 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notas fiscais, contratos de prestação de serviços ou de terceirização, bem como termos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 e plano de negócios.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45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435 – 01/06/2022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sectPr w:rsidR="00FC693F" w:rsidRPr="0006063C" w:rsidSect="00034616">
      <w:pgSz w:w="11906" w:h="16838"/>
      <w:pgMar w:top="352" w:right="1058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