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439, DE 30 DE JUNHO DE 2022 </w:t>
      </w:r>
    </w:p>
    <w:p>
      <w:pPr>
        <w:autoSpaceDN w:val="0"/>
        <w:autoSpaceDE w:val="0"/>
        <w:widowControl/>
        <w:spacing w:line="245" w:lineRule="auto" w:before="642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Cordeirópolis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2.677/2010,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Cordeirópolis,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Cordeirópolis;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27/2022-DFB,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Cordeirópolis, instituído através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3.943/2013, com seus membros nomeados pela Portaria nº 11.701/2020, reunido no dia 29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junho de 2022, analisou e aprovou o conteúdo do Parecer Consolidado ARES-PCJ nº 27/2022-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inclusive os índices propostos para o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SAAE -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Cordeirópolis;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a Diretoria Executiva da ARES-PCJ, reunida em 30 de junho de 2022;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1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439 – 30/06/2022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em 18,25% (dezoito inteiros e vinte e cinco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agosto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em 12,13% (doze inteiros e treze centésimos por cento).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agosto de 2022.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acesso,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Cordeirópolis,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 de Cordeirópolis,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5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439 – 30/06/2022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1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439, DE 30 DE JUNHO DE 2022 </w:t>
      </w:r>
    </w:p>
    <w:p>
      <w:pPr>
        <w:autoSpaceDN w:val="0"/>
        <w:autoSpaceDE w:val="0"/>
        <w:widowControl/>
        <w:spacing w:line="197" w:lineRule="auto" w:before="350" w:after="0"/>
        <w:ind w:left="0" w:right="412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19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1855"/>
        <w:gridCol w:w="1855"/>
        <w:gridCol w:w="1855"/>
        <w:gridCol w:w="1855"/>
        <w:gridCol w:w="1855"/>
      </w:tblGrid>
      <w:tr>
        <w:trPr>
          <w:trHeight w:hRule="exact" w:val="338"/>
        </w:trPr>
        <w:tc>
          <w:tcPr>
            <w:tcW w:type="dxa" w:w="9140"/>
            <w:gridSpan w:val="5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34"/>
        </w:trPr>
        <w:tc>
          <w:tcPr>
            <w:tcW w:type="dxa" w:w="2474"/>
            <w:vMerge w:val="restart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6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55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5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64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6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3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4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11,12 </w:t>
            </w:r>
          </w:p>
        </w:tc>
        <w:tc>
          <w:tcPr>
            <w:tcW w:type="dxa" w:w="176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21,12 </w:t>
            </w:r>
          </w:p>
        </w:tc>
      </w:tr>
      <w:tr>
        <w:trPr>
          <w:trHeight w:hRule="exact" w:val="324"/>
        </w:trPr>
        <w:tc>
          <w:tcPr>
            <w:tcW w:type="dxa" w:w="247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6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76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6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6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6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</w:tr>
      <w:tr>
        <w:trPr>
          <w:trHeight w:hRule="exact" w:val="330"/>
        </w:trPr>
        <w:tc>
          <w:tcPr>
            <w:tcW w:type="dxa" w:w="247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  <w:tc>
          <w:tcPr>
            <w:tcW w:type="dxa" w:w="176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13,86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1855"/>
        <w:gridCol w:w="1855"/>
        <w:gridCol w:w="1855"/>
        <w:gridCol w:w="1855"/>
        <w:gridCol w:w="1855"/>
      </w:tblGrid>
      <w:tr>
        <w:trPr>
          <w:trHeight w:hRule="exact" w:val="340"/>
        </w:trPr>
        <w:tc>
          <w:tcPr>
            <w:tcW w:type="dxa" w:w="9140"/>
            <w:gridSpan w:val="5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36"/>
        </w:trPr>
        <w:tc>
          <w:tcPr>
            <w:tcW w:type="dxa" w:w="2474"/>
            <w:vMerge w:val="restart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60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55"/>
            <w:vMerge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55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22,24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42,26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</w:tr>
      <w:tr>
        <w:trPr>
          <w:trHeight w:hRule="exact" w:val="324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13,86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1855"/>
        <w:gridCol w:w="1855"/>
        <w:gridCol w:w="1855"/>
        <w:gridCol w:w="1855"/>
        <w:gridCol w:w="1855"/>
      </w:tblGrid>
      <w:tr>
        <w:trPr>
          <w:trHeight w:hRule="exact" w:val="336"/>
        </w:trPr>
        <w:tc>
          <w:tcPr>
            <w:tcW w:type="dxa" w:w="9140"/>
            <w:gridSpan w:val="5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40"/>
        </w:trPr>
        <w:tc>
          <w:tcPr>
            <w:tcW w:type="dxa" w:w="2474"/>
            <w:vMerge w:val="restart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60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55"/>
            <w:vMerge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55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28,43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54,01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</w:tr>
      <w:tr>
        <w:trPr>
          <w:trHeight w:hRule="exact" w:val="324"/>
        </w:trPr>
        <w:tc>
          <w:tcPr>
            <w:tcW w:type="dxa" w:w="2474"/>
            <w:tcBorders>
              <w:start w:sz="3.199999999999932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13,86 </w:t>
            </w:r>
          </w:p>
        </w:tc>
      </w:tr>
      <w:tr>
        <w:trPr>
          <w:trHeight w:hRule="exact" w:val="340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18,15 </w:t>
            </w:r>
          </w:p>
        </w:tc>
      </w:tr>
    </w:tbl>
    <w:p>
      <w:pPr>
        <w:autoSpaceDN w:val="0"/>
        <w:autoSpaceDE w:val="0"/>
        <w:widowControl/>
        <w:spacing w:line="3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1855"/>
        <w:gridCol w:w="1855"/>
        <w:gridCol w:w="1855"/>
        <w:gridCol w:w="1855"/>
        <w:gridCol w:w="1855"/>
      </w:tblGrid>
      <w:tr>
        <w:trPr>
          <w:trHeight w:hRule="exact" w:val="336"/>
        </w:trPr>
        <w:tc>
          <w:tcPr>
            <w:tcW w:type="dxa" w:w="9140"/>
            <w:gridSpan w:val="5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38"/>
        </w:trPr>
        <w:tc>
          <w:tcPr>
            <w:tcW w:type="dxa" w:w="2474"/>
            <w:vMerge w:val="restart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6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55"/>
            <w:vMerge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5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28,43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54,01 </w:t>
            </w:r>
          </w:p>
        </w:tc>
      </w:tr>
      <w:tr>
        <w:trPr>
          <w:trHeight w:hRule="exact" w:val="326"/>
        </w:trPr>
        <w:tc>
          <w:tcPr>
            <w:tcW w:type="dxa" w:w="2474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6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6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70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</w:tr>
      <w:tr>
        <w:trPr>
          <w:trHeight w:hRule="exact" w:val="326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7,29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13,86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6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706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700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18,15 </w:t>
            </w:r>
          </w:p>
        </w:tc>
      </w:tr>
    </w:tbl>
    <w:p>
      <w:pPr>
        <w:autoSpaceDN w:val="0"/>
        <w:autoSpaceDE w:val="0"/>
        <w:widowControl/>
        <w:spacing w:line="6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38"/>
        <w:gridCol w:w="4638"/>
      </w:tblGrid>
      <w:tr>
        <w:trPr>
          <w:trHeight w:hRule="exact" w:val="240"/>
        </w:trPr>
        <w:tc>
          <w:tcPr>
            <w:tcW w:type="dxa" w:w="6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439 – 30/06/2022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374" w:right="12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27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17" w:type="dxa"/>
      </w:tblPr>
      <w:tblGrid>
        <w:gridCol w:w="1855"/>
        <w:gridCol w:w="1855"/>
        <w:gridCol w:w="1855"/>
        <w:gridCol w:w="1855"/>
        <w:gridCol w:w="1855"/>
      </w:tblGrid>
      <w:tr>
        <w:trPr>
          <w:trHeight w:hRule="exact" w:val="340"/>
        </w:trPr>
        <w:tc>
          <w:tcPr>
            <w:tcW w:type="dxa" w:w="9140"/>
            <w:gridSpan w:val="5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36"/>
        </w:trPr>
        <w:tc>
          <w:tcPr>
            <w:tcW w:type="dxa" w:w="2474"/>
            <w:vMerge w:val="restart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6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55"/>
            <w:vMerge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5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47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34,26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30,84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65,10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5,08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</w:tr>
      <w:tr>
        <w:trPr>
          <w:trHeight w:hRule="exact" w:val="328"/>
        </w:trPr>
        <w:tc>
          <w:tcPr>
            <w:tcW w:type="dxa" w:w="247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70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</w:tr>
      <w:tr>
        <w:trPr>
          <w:trHeight w:hRule="exact" w:val="330"/>
        </w:trPr>
        <w:tc>
          <w:tcPr>
            <w:tcW w:type="dxa" w:w="247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6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9,12 </w:t>
            </w:r>
          </w:p>
        </w:tc>
        <w:tc>
          <w:tcPr>
            <w:tcW w:type="dxa" w:w="170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17,34 </w:t>
            </w:r>
          </w:p>
        </w:tc>
      </w:tr>
      <w:tr>
        <w:trPr>
          <w:trHeight w:hRule="exact" w:val="326"/>
        </w:trPr>
        <w:tc>
          <w:tcPr>
            <w:tcW w:type="dxa" w:w="2474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  <w:tc>
          <w:tcPr>
            <w:tcW w:type="dxa" w:w="170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10,72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22,62 </w:t>
            </w:r>
          </w:p>
        </w:tc>
      </w:tr>
    </w:tbl>
    <w:p>
      <w:pPr>
        <w:autoSpaceDN w:val="0"/>
        <w:autoSpaceDE w:val="0"/>
        <w:widowControl/>
        <w:spacing w:line="197" w:lineRule="auto" w:before="31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Nota.: Os valores das Tarifas de Esgoto correspondem a 90% dos valores das Tarifas de Água.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06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439 – 30/06/2022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2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15 m³: </w:t>
      </w:r>
    </w:p>
    <w:p>
      <w:pPr>
        <w:autoSpaceDN w:val="0"/>
        <w:autoSpaceDE w:val="0"/>
        <w:widowControl/>
        <w:spacing w:line="245" w:lineRule="auto" w:before="394" w:after="0"/>
        <w:ind w:left="852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Categoria Residencial (Consumo até 10 m³)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R$ 22,24 </w:t>
      </w:r>
    </w:p>
    <w:p>
      <w:pPr>
        <w:autoSpaceDN w:val="0"/>
        <w:autoSpaceDE w:val="0"/>
        <w:widowControl/>
        <w:spacing w:line="247" w:lineRule="auto" w:before="350" w:after="0"/>
        <w:ind w:left="852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Categoria Residencial (Consumo de 15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R$ 22,24) + (5 m³ x R$ 3,17 = R$ 15,85)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R$ 22,24 + R$ 15,85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de Água = R$ 38,09</w:t>
      </w:r>
    </w:p>
    <w:p>
      <w:pPr>
        <w:autoSpaceDN w:val="0"/>
        <w:autoSpaceDE w:val="0"/>
        <w:widowControl/>
        <w:spacing w:line="245" w:lineRule="auto" w:before="3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92" w:after="0"/>
        <w:ind w:left="852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Categoria Residencial (Consumo até 10 m³)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R$ 20,02 </w:t>
      </w:r>
    </w:p>
    <w:p>
      <w:pPr>
        <w:autoSpaceDN w:val="0"/>
        <w:autoSpaceDE w:val="0"/>
        <w:widowControl/>
        <w:spacing w:line="247" w:lineRule="auto" w:before="344" w:after="0"/>
        <w:ind w:left="852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Categoria Residencial (Consumo de 15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R$ 20,02) + (5 m³ x R$ 2,85 = R$ 14,25)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R$ 20,02 + R$ 14,25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R$ 34,27 </w:t>
      </w:r>
    </w:p>
    <w:p>
      <w:pPr>
        <w:autoSpaceDN w:val="0"/>
        <w:autoSpaceDE w:val="0"/>
        <w:widowControl/>
        <w:spacing w:line="245" w:lineRule="auto" w:before="3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Total (Água +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7" w:lineRule="auto" w:before="392" w:after="0"/>
        <w:ind w:left="852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(Consumo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R$ 22,24) + (Tarifa de Esgoto = R$ 20,02)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R$ 22,24 + R$ 20,02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R$ 42,26 </w:t>
      </w:r>
    </w:p>
    <w:p>
      <w:pPr>
        <w:autoSpaceDN w:val="0"/>
        <w:autoSpaceDE w:val="0"/>
        <w:widowControl/>
        <w:spacing w:line="247" w:lineRule="auto" w:before="640" w:after="0"/>
        <w:ind w:left="852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(Consumo de 15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R$ 38,09) + (Tarifa de Esgoto = R$ 34,27)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R$ 38,09 + R$ 34,27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R$ 72,36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0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439 – 30/06/2022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078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439, DE 30 DE JUNHO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732"/>
        <w:gridCol w:w="4732"/>
      </w:tblGrid>
      <w:tr>
        <w:trPr>
          <w:trHeight w:hRule="exact" w:val="33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794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não providos de pavimentação asfáltica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</w:tr>
      <w:tr>
        <w:trPr>
          <w:trHeight w:hRule="exact" w:val="324"/>
        </w:trPr>
        <w:tc>
          <w:tcPr>
            <w:tcW w:type="dxa" w:w="794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providos de pavimentação asfáltica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510,27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</w:tr>
      <w:tr>
        <w:trPr>
          <w:trHeight w:hRule="exact" w:val="326"/>
        </w:trPr>
        <w:tc>
          <w:tcPr>
            <w:tcW w:type="dxa" w:w="7940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102,06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(ramal predial e pluvial) </w:t>
            </w:r>
          </w:p>
        </w:tc>
        <w:tc>
          <w:tcPr>
            <w:tcW w:type="dxa" w:w="14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</w:tr>
      <w:tr>
        <w:trPr>
          <w:trHeight w:hRule="exact" w:val="326"/>
        </w:trPr>
        <w:tc>
          <w:tcPr>
            <w:tcW w:type="dxa" w:w="794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de água temporário para 7 (sete) dias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107,16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até 12m³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acima de 12m³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até 8m³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38,27 </w:t>
            </w:r>
          </w:p>
        </w:tc>
      </w:tr>
      <w:tr>
        <w:trPr>
          <w:trHeight w:hRule="exact" w:val="324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9 a 15m³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76,54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16 a 30m³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153,07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até 8m³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76,54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9 a 15m³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153,07 </w:t>
            </w:r>
          </w:p>
        </w:tc>
      </w:tr>
      <w:tr>
        <w:trPr>
          <w:trHeight w:hRule="exact" w:val="324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16 a 30m³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306,16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não providos de pavimentação asfáltica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providos de pavimentação asfáltica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510,27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0,32 </w:t>
            </w:r>
          </w:p>
        </w:tc>
      </w:tr>
      <w:tr>
        <w:trPr>
          <w:trHeight w:hRule="exact" w:val="324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Elevação de cavalete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102,06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102,06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no cavalete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calçada/pé direito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</w:tr>
      <w:tr>
        <w:trPr>
          <w:trHeight w:hRule="exact" w:val="324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510,27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cavalete </w:t>
            </w:r>
          </w:p>
        </w:tc>
        <w:tc>
          <w:tcPr>
            <w:tcW w:type="dxa" w:w="1420"/>
            <w:tcBorders>
              <w:start w:sz="2.399999999999636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63,79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calçada/pé direito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na rede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510,27 </w:t>
            </w:r>
          </w:p>
        </w:tc>
      </w:tr>
      <w:tr>
        <w:trPr>
          <w:trHeight w:hRule="exact" w:val="324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lacre (1ª ocorrência)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lacre (reincidência) B.O./corte na calçada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510,27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de água pluvial na rede de esgoto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382,71 </w:t>
            </w:r>
          </w:p>
        </w:tc>
      </w:tr>
      <w:tr>
        <w:trPr>
          <w:trHeight w:hRule="exact" w:val="322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Fraudes (1ª ocorrência)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127,57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Fraudes (reincidência) B.O.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510,27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clandestinas </w:t>
            </w:r>
          </w:p>
        </w:tc>
        <w:tc>
          <w:tcPr>
            <w:tcW w:type="dxa" w:w="14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637,84 </w:t>
            </w:r>
          </w:p>
        </w:tc>
      </w:tr>
      <w:tr>
        <w:trPr>
          <w:trHeight w:hRule="exact" w:val="328"/>
        </w:trPr>
        <w:tc>
          <w:tcPr>
            <w:tcW w:type="dxa" w:w="7940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clandestinas (reincidência) </w:t>
            </w:r>
          </w:p>
        </w:tc>
        <w:tc>
          <w:tcPr>
            <w:tcW w:type="dxa" w:w="14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637,84 </w:t>
            </w:r>
          </w:p>
        </w:tc>
      </w:tr>
    </w:tbl>
    <w:p>
      <w:pPr>
        <w:autoSpaceDN w:val="0"/>
        <w:autoSpaceDE w:val="0"/>
        <w:widowControl/>
        <w:spacing w:line="245" w:lineRule="auto" w:before="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 valor do material empregado pelo SAAE será calculado após a execução do serviço e lançado na </w:t>
      </w:r>
      <w:r>
        <w:rPr>
          <w:rFonts w:ascii="Calibri" w:hAnsi="Calibri" w:eastAsia="Calibri"/>
          <w:b w:val="0"/>
          <w:i w:val="0"/>
          <w:color w:val="000000"/>
          <w:sz w:val="22"/>
        </w:rPr>
        <w:t>fatura do usuário.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439 – 30/06/2022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374" w:right="1028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