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-160020</wp:posOffset>
            </wp:positionH>
            <wp:positionV relativeFrom="page">
              <wp:posOffset>9801860</wp:posOffset>
            </wp:positionV>
            <wp:extent cx="7738110" cy="98598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22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2776220</wp:posOffset>
            </wp:positionH>
            <wp:positionV relativeFrom="page">
              <wp:posOffset>426720</wp:posOffset>
            </wp:positionV>
            <wp:extent cx="2519680" cy="5397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448, DE 17 DE AGOSTO DE 2022 </w:t>
      </w:r>
    </w:p>
    <w:p>
      <w:pPr>
        <w:autoSpaceDN w:val="0"/>
        <w:autoSpaceDE w:val="0"/>
        <w:widowControl/>
        <w:spacing w:line="245" w:lineRule="auto" w:before="642" w:after="24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Altera </w:t>
      </w:r>
      <w:r>
        <w:rPr>
          <w:rFonts w:ascii="Calibri" w:hAnsi="Calibri" w:eastAsia="Calibri"/>
          <w:b w:val="0"/>
          <w:i w:val="0"/>
          <w:color w:val="000000"/>
          <w:sz w:val="24"/>
        </w:rPr>
        <w:t>o  art. 9º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, da Resolução ARES-PCJ nº 370,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21/12/2020, que estabelece as Condições Gerais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Prestação dos Serviços Públicos de Limpeza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Urbana e Manejo de Resíduos Sólidos Urbanos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âmbito dos municípios associados à Agência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4.0" w:type="dxa"/>
      </w:tblPr>
      <w:tblGrid>
        <w:gridCol w:w="1525"/>
        <w:gridCol w:w="1525"/>
        <w:gridCol w:w="1525"/>
        <w:gridCol w:w="1525"/>
        <w:gridCol w:w="1525"/>
        <w:gridCol w:w="1525"/>
      </w:tblGrid>
      <w:tr>
        <w:trPr>
          <w:trHeight w:hRule="exact" w:val="294"/>
        </w:trPr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Reguladora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PCJ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(ARES-PCJ),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dá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outras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0" w:right="3556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forma da Cláusula 32ª, inciso III,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Público, e o Artigo 28, inciso III,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Estatuto Social da 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11.445, de 05 de janeiro de 2007, institui as Diretrizes Nacionais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Básico, e o Decreto federal nº 7.217, de 06 de junho de 2010, a regulamenta;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12.305, 02 de agosto de 2010, institui a Política Nacional de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Sólidos, e o Decreto federal nº 7.404, de 23 de dezembro de 2010, a regulamenta;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14.026, 15 de julho de 2020, atualiza o marco legal do saneamento básico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altera a Lei nº 9.984, de 17 de julho de 2000, para atribuir à Agência Nacional de Águas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(ANA) competência para editar normas de referência sobre o serviço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básico, a Lei federal nº 11.445/2007, para aprimorar as condições estruturais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no País, e a Lei federal nº 12.305/2010, para tratar dos prazos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disposição final ambientalmente adequada dos rejeitos, e dá outras providencias; </w:t>
      </w:r>
    </w:p>
    <w:p>
      <w:pPr>
        <w:autoSpaceDN w:val="0"/>
        <w:autoSpaceDE w:val="0"/>
        <w:widowControl/>
        <w:spacing w:line="245" w:lineRule="auto" w:before="350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municípios associados à ARES-PCJ estão em fase de adequação e atualização de 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legislações, em conformidade à Lei federal nº 14.026/2020, principalmente quanto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sustentabilidade financeira dos serviços de resíduos sólidos urbanos; </w:t>
      </w:r>
    </w:p>
    <w:p>
      <w:pPr>
        <w:autoSpaceDN w:val="0"/>
        <w:autoSpaceDE w:val="0"/>
        <w:widowControl/>
        <w:spacing w:line="245" w:lineRule="auto" w:before="346" w:after="0"/>
        <w:ind w:left="0" w:right="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nos termos do art. 23, incisos I e X, confere à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a competência para editar normas regulatórias de natureza técnica, econômica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social, incluindo padrões de qualidade para a prestação dos serviços e atendimento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público; </w:t>
      </w:r>
    </w:p>
    <w:p>
      <w:pPr>
        <w:autoSpaceDN w:val="0"/>
        <w:tabs>
          <w:tab w:pos="8888" w:val="left"/>
        </w:tabs>
        <w:autoSpaceDE w:val="0"/>
        <w:widowControl/>
        <w:spacing w:line="197" w:lineRule="auto" w:before="99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448 – 17/08/2022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40"/>
          <w:pgMar w:top="336" w:right="1344" w:bottom="50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-160020</wp:posOffset>
            </wp:positionH>
            <wp:positionV relativeFrom="page">
              <wp:posOffset>9801860</wp:posOffset>
            </wp:positionV>
            <wp:extent cx="7738110" cy="985985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2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2776220</wp:posOffset>
            </wp:positionH>
            <wp:positionV relativeFrom="page">
              <wp:posOffset>426720</wp:posOffset>
            </wp:positionV>
            <wp:extent cx="2519680" cy="53974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Protocolo de Intenções da ARES-PCJ, convertido em Contrato de Consórcio Público,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das Cláusulas 10ª e 13ª, dispõe sobre a gestão associada e transferência de exercício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competências municipais de regulação e fiscalização dos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para a Agência Reguladora PCJ;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sustentabilidade financeira da Agência Reguladora PCJ advém da Taxa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Fiscalização, cobrada junto aos prestadores dos serviços de saneamento, no âmbito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municípios associados à ARES-PCJ; e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em face das distintas modalidades de prestação dos serviços de resíduos sólidos urbanos,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 Diretoria Executiva da ARES-PCJ, reunida em 16 de agosto de 2022,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1º - Alterar a redação do art. 9º, a redação do inciso I, e dos §§ 1º ao 6º e incluir o § 7º,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 art. 9º, da Resolução ARES-PCJ nº 370, de 21/12/2020, que estabelece as Condições Gerais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Prestação dos Serviços Públicos de Limpeza Urbana e Manejo de Resíduos Sólidos Urbanos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 âmbito dos municípios associados (consorciados e conveniados) à Agência Reguladora 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(ARES-PCJ), que passa a ter a seguinte redação: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852" w:right="59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9º Os prestadores dos serviços de limpeza urbana e manejo de resíduos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sólidos urbanos dos municípios associados à ARES-PCJ deverão pagar, pelo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exercício das atividades regulatórias e fiscalizatórias, Taxa de Regulação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Fiscalização, equivalente a 0,50% (cinquenta centésimos por cento): </w:t>
      </w:r>
    </w:p>
    <w:p>
      <w:pPr>
        <w:autoSpaceDN w:val="0"/>
        <w:autoSpaceDE w:val="0"/>
        <w:widowControl/>
        <w:spacing w:line="245" w:lineRule="auto" w:before="348" w:after="0"/>
        <w:ind w:left="852" w:right="60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I -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 total da Receita Corrente Arrecadada do exercício anterior, deduzidas 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Receitas Patrimoniais, referente aos serviços de limpeza urbana e manejo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resíduos sólidos no caso de prestação direta pelo titular dos serviços ou por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autarquia integrante da administração indireta; </w:t>
      </w:r>
    </w:p>
    <w:p>
      <w:pPr>
        <w:autoSpaceDN w:val="0"/>
        <w:autoSpaceDE w:val="0"/>
        <w:widowControl/>
        <w:spacing w:line="197" w:lineRule="auto" w:before="348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II - 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197" w:lineRule="auto" w:before="344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III - 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48" w:after="0"/>
        <w:ind w:left="852" w:right="59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1º Para municípios que não praticam a cobrança pelos serviços de limpeza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urbana e manejo de resíduos sólidos, a base de cálculo da Taxa de Regulação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Fiscalização será a Receita Requerida à sustentabilidade econômico-financeira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dos serviços, calculada como total da Despesa Pública Liquidada com esses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realizada no exercício anterior. </w:t>
      </w:r>
    </w:p>
    <w:p>
      <w:pPr>
        <w:autoSpaceDN w:val="0"/>
        <w:autoSpaceDE w:val="0"/>
        <w:widowControl/>
        <w:spacing w:line="245" w:lineRule="auto" w:before="342" w:after="0"/>
        <w:ind w:left="720" w:right="576" w:firstLine="0"/>
        <w:jc w:val="center"/>
      </w:pPr>
      <w:r>
        <w:rPr>
          <w:rFonts w:ascii="Calibri" w:hAnsi="Calibri" w:eastAsia="Calibri"/>
          <w:b w:val="0"/>
          <w:i/>
          <w:color w:val="000000"/>
          <w:sz w:val="24"/>
        </w:rPr>
        <w:t>§ 2º Os contratos de concessão comum ou na modalidade de parceria público-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privada, respeitadas as suas peculiaridades e extensão do objeto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fiscalização, poderão instituir alíquotas e metodologias diferenciadas de </w:t>
      </w:r>
    </w:p>
    <w:p>
      <w:pPr>
        <w:autoSpaceDN w:val="0"/>
        <w:tabs>
          <w:tab w:pos="8888" w:val="left"/>
        </w:tabs>
        <w:autoSpaceDE w:val="0"/>
        <w:widowControl/>
        <w:spacing w:line="197" w:lineRule="auto" w:before="7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448 – 17/08/2022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40"/>
          <w:pgMar w:top="336" w:right="1342" w:bottom="50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-160020</wp:posOffset>
            </wp:positionH>
            <wp:positionV relativeFrom="page">
              <wp:posOffset>9801860</wp:posOffset>
            </wp:positionV>
            <wp:extent cx="7738110" cy="98598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22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2776220</wp:posOffset>
            </wp:positionH>
            <wp:positionV relativeFrom="page">
              <wp:posOffset>426720</wp:posOffset>
            </wp:positionV>
            <wp:extent cx="2519680" cy="53974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0" w:after="0"/>
        <w:ind w:left="852" w:right="57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cobrança da Taxa de Regulação e Fiscalização, desde que essas alíquotas não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sejam inferiores às definidas pela ARES-PCJ. </w:t>
      </w:r>
    </w:p>
    <w:p>
      <w:pPr>
        <w:autoSpaceDN w:val="0"/>
        <w:autoSpaceDE w:val="0"/>
        <w:widowControl/>
        <w:spacing w:line="245" w:lineRule="auto" w:before="348" w:after="0"/>
        <w:ind w:left="852" w:right="57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§ 3º Nos casos de concessão administrativa na modalidade de parceria público-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privada, inexistindo regras contratuais específicas, a base de cálculo será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definida de acordo com as características da unidade de arrecadação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receitas referentes aos serviços de limpeza urbana e manejo de resíduos sólidos,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em consonância com o disposto no caput e nos incisos I, II e III. </w:t>
      </w:r>
    </w:p>
    <w:p>
      <w:pPr>
        <w:autoSpaceDN w:val="0"/>
        <w:autoSpaceDE w:val="0"/>
        <w:widowControl/>
        <w:spacing w:line="245" w:lineRule="auto" w:before="346" w:after="0"/>
        <w:ind w:left="852" w:right="59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4º A base de cálculo para os casos do inciso I e do § 1º será apurada de acordo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com as informações através de Transparência e Prestação Públicas, ou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órgãos de controle, ou pelas informações remetidas diretamente à ARES-PCJ. </w:t>
      </w:r>
    </w:p>
    <w:p>
      <w:pPr>
        <w:autoSpaceDN w:val="0"/>
        <w:autoSpaceDE w:val="0"/>
        <w:widowControl/>
        <w:spacing w:line="245" w:lineRule="auto" w:before="346" w:after="0"/>
        <w:ind w:left="852" w:right="59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5º A base de cálculo para os casos dos incisos II e III será apurada de acordo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com as demonstrações financeiras e demais informações remetidas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diretamente à ARES-PCJ. </w:t>
      </w:r>
    </w:p>
    <w:p>
      <w:pPr>
        <w:autoSpaceDN w:val="0"/>
        <w:autoSpaceDE w:val="0"/>
        <w:widowControl/>
        <w:spacing w:line="245" w:lineRule="auto" w:before="344" w:after="0"/>
        <w:ind w:left="852" w:right="57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6º Casos específicos que não estejam descritos nos parágrafos anteriores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serão deliberados conjuntamente pela ARES-PCJ e o município associado. </w:t>
      </w:r>
    </w:p>
    <w:p>
      <w:pPr>
        <w:autoSpaceDN w:val="0"/>
        <w:autoSpaceDE w:val="0"/>
        <w:widowControl/>
        <w:spacing w:line="245" w:lineRule="auto" w:before="344" w:after="0"/>
        <w:ind w:left="852" w:right="58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7º Preservando a isonomia entre os municípios associados à ARES-PCJ, quer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seja na condição de consorciado ou conveniado, sempre que houver decisão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Assembleia Geral da ARES-PCJ para alteração da alíquota da Taxa de Regulação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Fiscalização, esta se aplicará aos Convênios de Cooperação, ressalvando-se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que o valor não será superior a 0,50% (cinquenta centésimos por cento) sobre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as bases acima descritas, em conformidade com o disposto no Protocolo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Intenções da ARES-PCJ e suas Resoluções específicas.”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Esta Resolução entrará em vigor na data de sua publicação, revogando-se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em contrário. </w:t>
      </w:r>
    </w:p>
    <w:p>
      <w:pPr>
        <w:autoSpaceDN w:val="0"/>
        <w:autoSpaceDE w:val="0"/>
        <w:widowControl/>
        <w:spacing w:line="245" w:lineRule="auto" w:before="932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8888" w:val="left"/>
        </w:tabs>
        <w:autoSpaceDE w:val="0"/>
        <w:widowControl/>
        <w:spacing w:line="197" w:lineRule="auto" w:before="33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448 – 17/08/2022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sectPr w:rsidR="00FC693F" w:rsidRPr="0006063C" w:rsidSect="00034616">
      <w:pgSz w:w="11908" w:h="16840"/>
      <w:pgMar w:top="336" w:right="1344" w:bottom="508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