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1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9792970</wp:posOffset>
            </wp:positionV>
            <wp:extent cx="7827009" cy="997312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27009" cy="99731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35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2780030</wp:posOffset>
            </wp:positionH>
            <wp:positionV relativeFrom="page">
              <wp:posOffset>424180</wp:posOffset>
            </wp:positionV>
            <wp:extent cx="2434590" cy="482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4590" cy="482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449, DE 08 DE SETEMBRO DE 2022 </w:t>
      </w:r>
    </w:p>
    <w:p>
      <w:pPr>
        <w:autoSpaceDN w:val="0"/>
        <w:autoSpaceDE w:val="0"/>
        <w:widowControl/>
        <w:spacing w:line="245" w:lineRule="auto" w:before="936" w:after="26"/>
        <w:ind w:left="4254" w:right="2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Cria e insere o ANEXO IV na Resolução ARES-PCJ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nº 166, de 22/12/2016, que dispõe sobre a </w:t>
      </w:r>
      <w:r>
        <w:rPr>
          <w:rFonts w:ascii="Calibri" w:hAnsi="Calibri" w:eastAsia="Calibri"/>
          <w:b w:val="0"/>
          <w:i/>
          <w:color w:val="000000"/>
          <w:sz w:val="24"/>
        </w:rPr>
        <w:t>aprovação do Regulamento da Prestação dos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24.0" w:type="dxa"/>
      </w:tblPr>
      <w:tblGrid>
        <w:gridCol w:w="1525"/>
        <w:gridCol w:w="1525"/>
        <w:gridCol w:w="1525"/>
        <w:gridCol w:w="1525"/>
        <w:gridCol w:w="1525"/>
        <w:gridCol w:w="1525"/>
      </w:tblGrid>
      <w:tr>
        <w:trPr>
          <w:trHeight w:hRule="exact" w:val="292"/>
        </w:trPr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Serviços </w:t>
            </w:r>
          </w:p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  <w:tc>
          <w:tcPr>
            <w:tcW w:type="dxa" w:w="1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Abastecimento </w:t>
            </w:r>
          </w:p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  <w:tc>
          <w:tcPr>
            <w:tcW w:type="dxa" w:w="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Água 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e </w:t>
            </w:r>
          </w:p>
        </w:tc>
      </w:tr>
    </w:tbl>
    <w:p>
      <w:pPr>
        <w:autoSpaceDN w:val="0"/>
        <w:autoSpaceDE w:val="0"/>
        <w:widowControl/>
        <w:spacing w:line="245" w:lineRule="auto" w:before="26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>Esgotamento Sanitário e Atendimento aos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Usuários do Município de Leme,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dá outras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providências correlatas. </w:t>
      </w:r>
    </w:p>
    <w:p>
      <w:pPr>
        <w:autoSpaceDN w:val="0"/>
        <w:autoSpaceDE w:val="0"/>
        <w:widowControl/>
        <w:spacing w:line="245" w:lineRule="auto" w:before="6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>ou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</w:t>
      </w:r>
      <w:r>
        <w:rPr>
          <w:rFonts w:ascii="Calibri" w:hAnsi="Calibri" w:eastAsia="Calibri"/>
          <w:b/>
          <w:i w:val="0"/>
          <w:color w:val="000000"/>
          <w:sz w:val="24"/>
        </w:rPr>
        <w:t>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de suas atribuições e na forma da Cláusula 32ª, inciso III, do Protocolo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Intenções da ARES-PCJ convertido em Contrato de Consórcio Público, e o Artigo 28, inciso III,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Estatuto Social da Agência Reguladora PCJ e; </w:t>
      </w:r>
    </w:p>
    <w:p>
      <w:pPr>
        <w:autoSpaceDN w:val="0"/>
        <w:autoSpaceDE w:val="0"/>
        <w:widowControl/>
        <w:spacing w:line="197" w:lineRule="auto" w:before="63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CONSIDERANDO: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40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disposto no art. 23, da Lei Federal nº 11.445, </w:t>
      </w:r>
      <w:r>
        <w:rPr>
          <w:rFonts w:ascii="Calibri" w:hAnsi="Calibri" w:eastAsia="Calibri"/>
          <w:b w:val="0"/>
          <w:i w:val="0"/>
          <w:color w:val="000000"/>
          <w:sz w:val="24"/>
        </w:rPr>
        <w:t>de 05/01/2007</w:t>
      </w:r>
      <w:r>
        <w:rPr>
          <w:rFonts w:ascii="Calibri" w:hAnsi="Calibri" w:eastAsia="Calibri"/>
          <w:b w:val="0"/>
          <w:i w:val="0"/>
          <w:color w:val="000000"/>
          <w:sz w:val="24"/>
        </w:rPr>
        <w:t>, define os aspectos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normativos em que as agências reguladoras editarão normas relativas às dimensões técnicas,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econômicas e sociais de prestação dos serviços de saneamento básico;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os preceitos norteadores da Resolução ARES-PCJ nº 50, de 28/02/2014, em especial, nos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arts. 45 e 46, delimitam a forma e a obrigação do prestador de serviços de saneamento básico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editar o Regulamento de Prestação de Serviços, visando a divulgação do padrão normativo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aos usuários;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 SAECIL - Serviço de Água e Esgoto de Leme, encaminhou à Agência Reguladora 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proposta de alteração da Resolução ARES-PCJ nº 166/2016, visando inserir o Anexo IV, ao no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da Prestação dos Serviços de Abastecimento de Água e Esgotamento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Atendimento aos Usuários do Município de Leme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Agência Reguladora PCJ, através de análise, concluiu que tal alteração no citado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>atende ao conteúdo mínimo estabelecido pela Resolução ARES-PCJ nº 50,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28/02/2014, para a eficiente prestação dos serviços;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Que, em face do cumprimento de todas as diretrizes, a Diretoria Executiva da ARES-PCJ,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reunida em 08 de setembro de 2022;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8888" w:val="left"/>
        </w:tabs>
        <w:autoSpaceDE w:val="0"/>
        <w:widowControl/>
        <w:spacing w:line="197" w:lineRule="auto" w:before="100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449 – 08/09/2022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8" w:h="16840"/>
          <w:pgMar w:top="334" w:right="1342" w:bottom="500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9792970</wp:posOffset>
            </wp:positionV>
            <wp:extent cx="7827009" cy="997312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27009" cy="99731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35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2780030</wp:posOffset>
            </wp:positionH>
            <wp:positionV relativeFrom="page">
              <wp:posOffset>424180</wp:posOffset>
            </wp:positionV>
            <wp:extent cx="2434590" cy="4826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4590" cy="482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RESOLVE: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Criar e inserir o ANEXO IV na Resolução ARES-PCJ nº 166, de 22/12/2016, que dispõe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sobre a aprovação do Regulamento da Prestação dos Serviços de Abastecimento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 e Atendimento aos Usuários do Município de Leme (ANEXO A).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Esta Resolução entrará em vigor na data de sua publicação, revogando-se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disposições em contrário. </w:t>
      </w:r>
    </w:p>
    <w:p>
      <w:pPr>
        <w:autoSpaceDN w:val="0"/>
        <w:autoSpaceDE w:val="0"/>
        <w:widowControl/>
        <w:spacing w:line="245" w:lineRule="auto" w:before="1226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</w:p>
    <w:p>
      <w:pPr>
        <w:autoSpaceDN w:val="0"/>
        <w:tabs>
          <w:tab w:pos="8888" w:val="left"/>
        </w:tabs>
        <w:autoSpaceDE w:val="0"/>
        <w:widowControl/>
        <w:spacing w:line="197" w:lineRule="auto" w:before="92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449 – 08/09/2022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8" w:h="16840"/>
          <w:pgMar w:top="334" w:right="1344" w:bottom="500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9792970</wp:posOffset>
            </wp:positionV>
            <wp:extent cx="7827009" cy="997312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27009" cy="99731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43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2780030</wp:posOffset>
            </wp:positionH>
            <wp:positionV relativeFrom="page">
              <wp:posOffset>424180</wp:posOffset>
            </wp:positionV>
            <wp:extent cx="2434590" cy="4826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4590" cy="482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0" w:after="0"/>
        <w:ind w:left="104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166, DE 22 DE DEZEMBRO DE 2016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197" w:lineRule="auto" w:before="350" w:after="0"/>
        <w:ind w:left="0" w:right="4152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IV </w:t>
      </w:r>
    </w:p>
    <w:p>
      <w:pPr>
        <w:autoSpaceDN w:val="0"/>
        <w:autoSpaceDE w:val="0"/>
        <w:widowControl/>
        <w:spacing w:line="197" w:lineRule="auto" w:before="346" w:after="300"/>
        <w:ind w:left="0" w:right="422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MULTAS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616"/>
        <w:gridCol w:w="4616"/>
      </w:tblGrid>
      <w:tr>
        <w:trPr>
          <w:trHeight w:hRule="exact" w:val="594"/>
        </w:trPr>
        <w:tc>
          <w:tcPr>
            <w:tcW w:type="dxa" w:w="9204"/>
            <w:gridSpan w:val="2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.999999999999943" w:type="dxa"/>
            </w:tblPr>
            <w:tblGrid>
              <w:gridCol w:w="1023"/>
              <w:gridCol w:w="1023"/>
              <w:gridCol w:w="1023"/>
              <w:gridCol w:w="1023"/>
              <w:gridCol w:w="1023"/>
              <w:gridCol w:w="1023"/>
              <w:gridCol w:w="1023"/>
              <w:gridCol w:w="1023"/>
              <w:gridCol w:w="1023"/>
            </w:tblGrid>
            <w:tr>
              <w:trPr>
                <w:trHeight w:hRule="exact" w:val="292"/>
              </w:trPr>
              <w:tc>
                <w:tcPr>
                  <w:tcW w:type="dxa" w:w="8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PELAS </w:t>
                  </w:r>
                </w:p>
              </w:tc>
              <w:tc>
                <w:tcPr>
                  <w:tcW w:type="dxa" w:w="1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INFRAÇÕES </w:t>
                  </w:r>
                </w:p>
              </w:tc>
              <w:tc>
                <w:tcPr>
                  <w:tcW w:type="dxa" w:w="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 </w:t>
                  </w:r>
                </w:p>
              </w:tc>
              <w:tc>
                <w:tcPr>
                  <w:tcW w:type="dxa" w:w="1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DISPOSIÇÕES 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DO </w:t>
                  </w:r>
                </w:p>
              </w:tc>
              <w:tc>
                <w:tcPr>
                  <w:tcW w:type="dxa" w:w="1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REGULAMENTO 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DE </w:t>
                  </w:r>
                </w:p>
              </w:tc>
              <w:tc>
                <w:tcPr>
                  <w:tcW w:type="dxa" w:w="1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SERVIÇOS </w:t>
                  </w:r>
                </w:p>
              </w:tc>
              <w:tc>
                <w:tcPr>
                  <w:tcW w:type="dxa" w:w="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10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ABAIXO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RELACIONADOS, SERÃO COBRADAS MULTAS COMO SEGUE: </w:t>
            </w:r>
          </w:p>
        </w:tc>
      </w:tr>
      <w:tr>
        <w:trPr>
          <w:trHeight w:hRule="exact" w:val="348"/>
        </w:trPr>
        <w:tc>
          <w:tcPr>
            <w:tcW w:type="dxa" w:w="9204"/>
            <w:gridSpan w:val="2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MULTA DE 0,5 (MEIO) SALÁRIO-MÍNIMO PARA AS SEGUINTES INFRAÇÕES: </w:t>
            </w:r>
          </w:p>
        </w:tc>
      </w:tr>
      <w:tr>
        <w:trPr>
          <w:trHeight w:hRule="exact" w:val="598"/>
        </w:trPr>
        <w:tc>
          <w:tcPr>
            <w:tcW w:type="dxa" w:w="96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824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Impedimento do acesso para inspeção de rede interna e hidrômetro por servidores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 SAECIL </w:t>
            </w:r>
          </w:p>
        </w:tc>
      </w:tr>
      <w:tr>
        <w:trPr>
          <w:trHeight w:hRule="exact" w:val="352"/>
        </w:trPr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8244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Emprego de injetores ou bombas de sucção na rede interna ou ramal de água </w:t>
            </w:r>
          </w:p>
        </w:tc>
      </w:tr>
      <w:tr>
        <w:trPr>
          <w:trHeight w:hRule="exact" w:val="348"/>
        </w:trPr>
        <w:tc>
          <w:tcPr>
            <w:tcW w:type="dxa" w:w="96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824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Violação da caixa padrão </w:t>
            </w:r>
          </w:p>
        </w:tc>
      </w:tr>
      <w:tr>
        <w:trPr>
          <w:trHeight w:hRule="exact" w:val="352"/>
        </w:trPr>
        <w:tc>
          <w:tcPr>
            <w:tcW w:type="dxa" w:w="96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8244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Ausência ou impedimento da caixa gordura ou inspeção </w:t>
            </w:r>
          </w:p>
        </w:tc>
      </w:tr>
      <w:tr>
        <w:trPr>
          <w:trHeight w:hRule="exact" w:val="348"/>
        </w:trPr>
        <w:tc>
          <w:tcPr>
            <w:tcW w:type="dxa" w:w="96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824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Divisão de consumo por mais de 1 hidrômetro </w:t>
            </w:r>
          </w:p>
        </w:tc>
      </w:tr>
      <w:tr>
        <w:trPr>
          <w:trHeight w:hRule="exact" w:val="352"/>
        </w:trPr>
        <w:tc>
          <w:tcPr>
            <w:tcW w:type="dxa" w:w="96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 </w:t>
            </w:r>
          </w:p>
        </w:tc>
        <w:tc>
          <w:tcPr>
            <w:tcW w:type="dxa" w:w="8244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Ausência de caixa de areia ou decantação </w:t>
            </w:r>
          </w:p>
        </w:tc>
      </w:tr>
      <w:tr>
        <w:trPr>
          <w:trHeight w:hRule="exact" w:val="348"/>
        </w:trPr>
        <w:tc>
          <w:tcPr>
            <w:tcW w:type="dxa" w:w="96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824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Obstrução de caixa de galeria </w:t>
            </w:r>
          </w:p>
        </w:tc>
      </w:tr>
      <w:tr>
        <w:trPr>
          <w:trHeight w:hRule="exact" w:val="352"/>
        </w:trPr>
        <w:tc>
          <w:tcPr>
            <w:tcW w:type="dxa" w:w="96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 </w:t>
            </w:r>
          </w:p>
        </w:tc>
        <w:tc>
          <w:tcPr>
            <w:tcW w:type="dxa" w:w="8244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Lançamento de esgoto não proveniente do abastecimento da SAECIL </w:t>
            </w:r>
          </w:p>
        </w:tc>
      </w:tr>
      <w:tr>
        <w:trPr>
          <w:trHeight w:hRule="exact" w:val="596"/>
        </w:trPr>
        <w:tc>
          <w:tcPr>
            <w:tcW w:type="dxa" w:w="96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 </w:t>
            </w:r>
          </w:p>
        </w:tc>
        <w:tc>
          <w:tcPr>
            <w:tcW w:type="dxa" w:w="824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Danos a redes ou estruturas sob a responsabilidade da SAECIL, além da multa será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cobrada a somatória dos valores necessários para o reparo do dano praticado </w:t>
            </w:r>
          </w:p>
        </w:tc>
      </w:tr>
      <w:tr>
        <w:trPr>
          <w:trHeight w:hRule="exact" w:val="348"/>
        </w:trPr>
        <w:tc>
          <w:tcPr>
            <w:tcW w:type="dxa" w:w="96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824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domiciliar não adequada ao padrão SAECIL </w:t>
            </w:r>
          </w:p>
        </w:tc>
      </w:tr>
      <w:tr>
        <w:trPr>
          <w:trHeight w:hRule="exact" w:val="596"/>
        </w:trPr>
        <w:tc>
          <w:tcPr>
            <w:tcW w:type="dxa" w:w="96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</w:t>
            </w:r>
          </w:p>
        </w:tc>
        <w:tc>
          <w:tcPr>
            <w:tcW w:type="dxa" w:w="824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Lavagens de calçadas ou veículos durante período determinado pela SAECIL para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redução de consumo </w:t>
            </w:r>
          </w:p>
        </w:tc>
      </w:tr>
      <w:tr>
        <w:trPr>
          <w:trHeight w:hRule="exact" w:val="596"/>
        </w:trPr>
        <w:tc>
          <w:tcPr>
            <w:tcW w:type="dxa" w:w="96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11.1 </w:t>
            </w:r>
          </w:p>
        </w:tc>
        <w:tc>
          <w:tcPr>
            <w:tcW w:type="dxa" w:w="824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Falta de apresentação de documentação cadastral do imóvel e/ou usuário quando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requerido pela SAECIL </w:t>
            </w:r>
          </w:p>
        </w:tc>
      </w:tr>
      <w:tr>
        <w:trPr>
          <w:trHeight w:hRule="exact" w:val="596"/>
        </w:trPr>
        <w:tc>
          <w:tcPr>
            <w:tcW w:type="dxa" w:w="96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 </w:t>
            </w:r>
          </w:p>
        </w:tc>
        <w:tc>
          <w:tcPr>
            <w:tcW w:type="dxa" w:w="824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Derivação clandestina de um prédio para outro, ainda que do mesmo proprietário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(a multa aplica-se a todos os envolvidos) </w:t>
            </w:r>
          </w:p>
        </w:tc>
      </w:tr>
      <w:tr>
        <w:trPr>
          <w:trHeight w:hRule="exact" w:val="352"/>
        </w:trPr>
        <w:tc>
          <w:tcPr>
            <w:tcW w:type="dxa" w:w="9204"/>
            <w:gridSpan w:val="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MULTA DE 01 (UM) SALÁRIO-MÍNIMO PARA AS SEGUINTES INFRAÇÕES: </w:t>
            </w:r>
          </w:p>
        </w:tc>
      </w:tr>
      <w:tr>
        <w:trPr>
          <w:trHeight w:hRule="exact" w:val="348"/>
        </w:trPr>
        <w:tc>
          <w:tcPr>
            <w:tcW w:type="dxa" w:w="96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 </w:t>
            </w:r>
          </w:p>
        </w:tc>
        <w:tc>
          <w:tcPr>
            <w:tcW w:type="dxa" w:w="824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Rompimento do selo do hidrômetro ou religação de água por conta própria </w:t>
            </w:r>
          </w:p>
        </w:tc>
      </w:tr>
      <w:tr>
        <w:trPr>
          <w:trHeight w:hRule="exact" w:val="352"/>
        </w:trPr>
        <w:tc>
          <w:tcPr>
            <w:tcW w:type="dxa" w:w="96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 </w:t>
            </w:r>
          </w:p>
        </w:tc>
        <w:tc>
          <w:tcPr>
            <w:tcW w:type="dxa" w:w="824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Intervenção indevida nos ramais de derivação ou coletor </w:t>
            </w:r>
          </w:p>
        </w:tc>
      </w:tr>
      <w:tr>
        <w:trPr>
          <w:trHeight w:hRule="exact" w:val="348"/>
        </w:trPr>
        <w:tc>
          <w:tcPr>
            <w:tcW w:type="dxa" w:w="96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 </w:t>
            </w:r>
          </w:p>
        </w:tc>
        <w:tc>
          <w:tcPr>
            <w:tcW w:type="dxa" w:w="824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Retirada ou violação do hidrômetro </w:t>
            </w:r>
          </w:p>
        </w:tc>
      </w:tr>
      <w:tr>
        <w:trPr>
          <w:trHeight w:hRule="exact" w:val="598"/>
        </w:trPr>
        <w:tc>
          <w:tcPr>
            <w:tcW w:type="dxa" w:w="96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</w:t>
            </w:r>
          </w:p>
        </w:tc>
        <w:tc>
          <w:tcPr>
            <w:tcW w:type="dxa" w:w="824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Utilização de ponto de água de logradouros públicos sem autorização expressa 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SAECIL </w:t>
            </w:r>
          </w:p>
        </w:tc>
      </w:tr>
      <w:tr>
        <w:trPr>
          <w:trHeight w:hRule="exact" w:val="596"/>
        </w:trPr>
        <w:tc>
          <w:tcPr>
            <w:tcW w:type="dxa" w:w="960"/>
            <w:tcBorders>
              <w:start w:sz="3.2000000000000455" w:val="single" w:color="#000000"/>
              <w:top w:sz="2.4000000000005457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 </w:t>
            </w:r>
          </w:p>
        </w:tc>
        <w:tc>
          <w:tcPr>
            <w:tcW w:type="dxa" w:w="8244"/>
            <w:tcBorders>
              <w:start w:sz="3.2000000000000455" w:val="single" w:color="#000000"/>
              <w:top w:sz="2.4000000000005457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Despejo de águas pluviais na canalização de esgotos sanitários ou interligações dos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dois sistemas </w:t>
            </w:r>
          </w:p>
        </w:tc>
      </w:tr>
      <w:tr>
        <w:trPr>
          <w:trHeight w:hRule="exact" w:val="350"/>
        </w:trPr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 </w:t>
            </w:r>
          </w:p>
        </w:tc>
        <w:tc>
          <w:tcPr>
            <w:tcW w:type="dxa" w:w="8244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Despejo de resíduos sólidos que venham a comprometer os emissários de esgotos </w:t>
            </w:r>
          </w:p>
        </w:tc>
      </w:tr>
      <w:tr>
        <w:trPr>
          <w:trHeight w:hRule="exact" w:val="350"/>
        </w:trPr>
        <w:tc>
          <w:tcPr>
            <w:tcW w:type="dxa" w:w="96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 </w:t>
            </w:r>
          </w:p>
        </w:tc>
        <w:tc>
          <w:tcPr>
            <w:tcW w:type="dxa" w:w="824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Manobra de registro da rede externa sem autorização expressa da SAECIL </w:t>
            </w:r>
          </w:p>
        </w:tc>
      </w:tr>
      <w:tr>
        <w:trPr>
          <w:trHeight w:hRule="exact" w:val="350"/>
        </w:trPr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</w:t>
            </w:r>
          </w:p>
        </w:tc>
        <w:tc>
          <w:tcPr>
            <w:tcW w:type="dxa" w:w="8244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Emprego de qualquer meio com o intuito de fraudar o registro do consumo de água </w:t>
            </w:r>
          </w:p>
        </w:tc>
      </w:tr>
      <w:tr>
        <w:trPr>
          <w:trHeight w:hRule="exact" w:val="598"/>
        </w:trPr>
        <w:tc>
          <w:tcPr>
            <w:tcW w:type="dxa" w:w="96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</w:t>
            </w:r>
          </w:p>
        </w:tc>
        <w:tc>
          <w:tcPr>
            <w:tcW w:type="dxa" w:w="824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Danificação ou utilização de hidrantes para fins que não sejam de calamidade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pública ou sem autorização expressa da SAECIL </w:t>
            </w:r>
          </w:p>
        </w:tc>
      </w:tr>
      <w:tr>
        <w:trPr>
          <w:trHeight w:hRule="exact" w:val="592"/>
        </w:trPr>
        <w:tc>
          <w:tcPr>
            <w:tcW w:type="dxa" w:w="96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 </w:t>
            </w:r>
          </w:p>
        </w:tc>
        <w:tc>
          <w:tcPr>
            <w:tcW w:type="dxa" w:w="824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Execução de obras e serviços em desacordo com as determinações técnicas 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SAECIL ou das Normas Técnicas Brasileiras (ABNT) </w:t>
            </w:r>
          </w:p>
        </w:tc>
      </w:tr>
    </w:tbl>
    <w:p>
      <w:pPr>
        <w:autoSpaceDN w:val="0"/>
        <w:tabs>
          <w:tab w:pos="8888" w:val="left"/>
        </w:tabs>
        <w:autoSpaceDE w:val="0"/>
        <w:widowControl/>
        <w:spacing w:line="197" w:lineRule="auto" w:before="27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449 – 08/09/2022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8" w:h="16840"/>
          <w:pgMar w:top="334" w:right="1260" w:bottom="500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9792970</wp:posOffset>
            </wp:positionV>
            <wp:extent cx="7827009" cy="997312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27009" cy="99731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56"/>
        <w:ind w:left="0" w:right="243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2780030</wp:posOffset>
            </wp:positionH>
            <wp:positionV relativeFrom="page">
              <wp:posOffset>424180</wp:posOffset>
            </wp:positionV>
            <wp:extent cx="2434590" cy="4826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4590" cy="4826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616"/>
        <w:gridCol w:w="4616"/>
      </w:tblGrid>
      <w:tr>
        <w:trPr>
          <w:trHeight w:hRule="exact" w:val="352"/>
        </w:trPr>
        <w:tc>
          <w:tcPr>
            <w:tcW w:type="dxa" w:w="9204"/>
            <w:gridSpan w:val="2"/>
            <w:tcBorders>
              <w:start w:sz="3.2000000000000455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MULTA DE 05 (CINCO) SALÁRIOS-MÍNIMOS PARA AS SEGUINTES INFRAÇÕES: </w:t>
            </w:r>
          </w:p>
        </w:tc>
      </w:tr>
      <w:tr>
        <w:trPr>
          <w:trHeight w:hRule="exact" w:val="596"/>
        </w:trPr>
        <w:tc>
          <w:tcPr>
            <w:tcW w:type="dxa" w:w="96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 </w:t>
            </w:r>
          </w:p>
        </w:tc>
        <w:tc>
          <w:tcPr>
            <w:tcW w:type="dxa" w:w="8244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Lançamento na rede pública de resíduos líquidos que, por suas características,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exijam tratamento prévio </w:t>
            </w:r>
          </w:p>
        </w:tc>
      </w:tr>
      <w:tr>
        <w:trPr>
          <w:trHeight w:hRule="exact" w:val="596"/>
        </w:trPr>
        <w:tc>
          <w:tcPr>
            <w:tcW w:type="dxa" w:w="96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 </w:t>
            </w:r>
          </w:p>
        </w:tc>
        <w:tc>
          <w:tcPr>
            <w:tcW w:type="dxa" w:w="8244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Danos às adutoras, sub - adutoras, emissários, galerias de águas pluviais ou qualquer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equipamento da rede de distribuição, coleta e drenagem da SAECIL </w:t>
            </w:r>
          </w:p>
        </w:tc>
      </w:tr>
      <w:tr>
        <w:trPr>
          <w:trHeight w:hRule="exact" w:val="596"/>
        </w:trPr>
        <w:tc>
          <w:tcPr>
            <w:tcW w:type="dxa" w:w="96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 </w:t>
            </w:r>
          </w:p>
        </w:tc>
        <w:tc>
          <w:tcPr>
            <w:tcW w:type="dxa" w:w="8244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Início de obra de instalação de água e esgoto em loteamento ou agrupamento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edificações sem autorização da SAECIL </w:t>
            </w:r>
          </w:p>
        </w:tc>
      </w:tr>
      <w:tr>
        <w:trPr>
          <w:trHeight w:hRule="exact" w:val="596"/>
        </w:trPr>
        <w:tc>
          <w:tcPr>
            <w:tcW w:type="dxa" w:w="960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 </w:t>
            </w:r>
          </w:p>
        </w:tc>
        <w:tc>
          <w:tcPr>
            <w:tcW w:type="dxa" w:w="8244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Alteração do projeto de instalação de água ou esgoto em loteamentos ou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agrupamentos de edificações sem prévia autorização da SAECIL </w:t>
            </w:r>
          </w:p>
        </w:tc>
      </w:tr>
      <w:tr>
        <w:trPr>
          <w:trHeight w:hRule="exact" w:val="596"/>
        </w:trPr>
        <w:tc>
          <w:tcPr>
            <w:tcW w:type="dxa" w:w="9204"/>
            <w:gridSpan w:val="2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A aplicação das multas acima referidas não desobriga o usuário da correção 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irregularidade que deu origem a punição.</w:t>
            </w:r>
          </w:p>
        </w:tc>
      </w:tr>
      <w:tr>
        <w:trPr>
          <w:trHeight w:hRule="exact" w:val="598"/>
        </w:trPr>
        <w:tc>
          <w:tcPr>
            <w:tcW w:type="dxa" w:w="9204"/>
            <w:gridSpan w:val="2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2º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 caso de reincidência, a multa será aplicada em dobro, e em nova reincidência, será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aplicada três vezes o valor da multa, seguido de Boletim de Ocorrência Policial.</w:t>
            </w:r>
          </w:p>
        </w:tc>
      </w:tr>
      <w:tr>
        <w:trPr>
          <w:trHeight w:hRule="exact" w:val="596"/>
        </w:trPr>
        <w:tc>
          <w:tcPr>
            <w:tcW w:type="dxa" w:w="9204"/>
            <w:gridSpan w:val="2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Em caso de interrupção no fornecimento de água por qualquer motivo, o usuário pagará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as tarifas nos termos do parágrafo único, art. 40, do Decreto nº 1.024, de 24/02/1975.</w:t>
            </w:r>
          </w:p>
        </w:tc>
      </w:tr>
      <w:tr>
        <w:trPr>
          <w:trHeight w:hRule="exact" w:val="888"/>
        </w:trPr>
        <w:tc>
          <w:tcPr>
            <w:tcW w:type="dxa" w:w="9204"/>
            <w:gridSpan w:val="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24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Em qualquer ocorrência onde seja constatada fraude ou tentativa na ligação, 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proprietário ou o usuário deverá obrigatoriamente instalar a caixa padrão para ligação 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SAECIL, sob pena de multa.</w:t>
            </w:r>
          </w:p>
        </w:tc>
      </w:tr>
      <w:tr>
        <w:trPr>
          <w:trHeight w:hRule="exact" w:val="348"/>
        </w:trPr>
        <w:tc>
          <w:tcPr>
            <w:tcW w:type="dxa" w:w="9204"/>
            <w:gridSpan w:val="2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5º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- Serviços e materiais poderão ser parcelados de acordo com Portaria emitida pela SAECIL.</w:t>
            </w:r>
          </w:p>
        </w:tc>
      </w:tr>
      <w:tr>
        <w:trPr>
          <w:trHeight w:hRule="exact" w:val="1184"/>
        </w:trPr>
        <w:tc>
          <w:tcPr>
            <w:tcW w:type="dxa" w:w="9204"/>
            <w:gridSpan w:val="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8" w:right="20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6º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Cabe à SAECIL a escolha do tipo de padrão de ligação e forma de instalação a ser utilizado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 todas as ligações de água do município, abrangidas e interligadas às redes de distribuição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água e, também, o tipo de proteção de hidrômetro ou interligação das redes internas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imóvel, podendo ser adotado mais de um tipo de instalação a critério da SAECIL.</w:t>
            </w:r>
          </w:p>
        </w:tc>
      </w:tr>
    </w:tbl>
    <w:p>
      <w:pPr>
        <w:autoSpaceDN w:val="0"/>
        <w:tabs>
          <w:tab w:pos="8888" w:val="left"/>
        </w:tabs>
        <w:autoSpaceDE w:val="0"/>
        <w:widowControl/>
        <w:spacing w:line="197" w:lineRule="auto" w:before="670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449 – 08/09/2022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sectPr w:rsidR="00FC693F" w:rsidRPr="0006063C" w:rsidSect="00034616">
      <w:pgSz w:w="11908" w:h="16840"/>
      <w:pgMar w:top="334" w:right="1260" w:bottom="500" w:left="141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