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</wp:posOffset>
            </wp:positionH>
            <wp:positionV relativeFrom="page">
              <wp:posOffset>9725660</wp:posOffset>
            </wp:positionV>
            <wp:extent cx="7556500" cy="96284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28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359410</wp:posOffset>
            </wp:positionV>
            <wp:extent cx="2491740" cy="5003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5003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0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450, DE 27 DE SETEMBRO DE 2022 </w:t>
      </w:r>
    </w:p>
    <w:p>
      <w:pPr>
        <w:autoSpaceDN w:val="0"/>
        <w:autoSpaceDE w:val="0"/>
        <w:widowControl/>
        <w:spacing w:line="245" w:lineRule="auto" w:before="93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o § 1º do art. 124, e o caput do art. 134; cria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art. 138-A e a alínea ‘d’, no inciso IV, do art. 140;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revoga os arts. 138 e 139 da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425, de 01/04/2022, que </w:t>
      </w:r>
      <w:r>
        <w:rPr>
          <w:rFonts w:ascii="Calibri" w:hAnsi="Calibri" w:eastAsia="Calibri"/>
          <w:b w:val="0"/>
          <w:i/>
          <w:color w:val="000000"/>
          <w:sz w:val="24"/>
        </w:rPr>
        <w:t>aprovou o Regulamento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Prestação dos Serviços de Abastecimento de Água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do Município de Artur Nogueira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9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46, que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SAEAN – Serviço de Água e Esgoto de Artur Nogueira,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e esgotamento sanitário, em conformidade com a Resolução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50/2014 e suas alterações, requereu análise das modificações propostas para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que disciplina a forma de prestação dos serviços e atendimento;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14/2022, concluiu que a alteração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proposta pelo SAEAN atende ao conteúdo mínimo estabelecido pela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 nº 50, de 28/02/2014, para a eficiente prestação dos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26 de setembro de 2022;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450 – 27/09/2022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282" w:right="1056" w:bottom="55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</wp:posOffset>
            </wp:positionH>
            <wp:positionV relativeFrom="page">
              <wp:posOffset>9725660</wp:posOffset>
            </wp:positionV>
            <wp:extent cx="7556500" cy="96284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28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359410</wp:posOffset>
            </wp:positionV>
            <wp:extent cx="2491740" cy="5003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5003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9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O §1º do art. 124 e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134 da Resolução ARES-PCJ nº 425, de 01 de abril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2022, passam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124.................................................................................................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170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§1º. Caso haja ocorrido no imóvel do USUÁRIO a hipótese descrita no artigo 2º,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inciso LXXIX, desta Resolução, e esse ainda não houver efetuado o pagamento,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mas pretender fazer pedido de revisão de faturas, deverá apresentar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documentos comprobatórios que serão indicados em portaria expedida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 DE SERVIÇOS. Tal procedimento será permitido uma única vez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dentro do mesmo exercício, para a revisão de até 03 (três) faturas, desde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sejam resultado de um mesmo vazamento, e requerido no prazo de 15 (quinze)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dias, a serem contados a partir da data de vencimento da última fatura objeto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revisão.”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6" w:after="0"/>
        <w:ind w:left="170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134. O PRESTADOR DE SERVIÇOS receberá pedidos de revisão de fatura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por comprovado vazamento quanto for invisível, conforme define o artigo 2º,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inciso LXXIX, desta Resolução. O USUÁRIO poderá requerer a revisão de fatura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uma única vez dentro do exercício, sendo certo que, se o USUÁRIO já tiver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adimplido dentro do prazo de vencimento a fatura que deseja impugnar, terá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prazo de 60 (sessenta) dias a serem contados da data em que o pagamento foi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efetuado, para protocolar perante o PRESTADOR DE SERVIÇOS referido pedido.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Analisado o pedido, em caso de deferimento, o valor da conta será recalculado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média dos 06 (seis) meses anteriores ao vazamento.”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A Resolução ARES-PCJ nº 425, de 01 de abril de 2022, passa vigorar acrescida do art. 138-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A: </w:t>
      </w:r>
    </w:p>
    <w:p>
      <w:pPr>
        <w:autoSpaceDN w:val="0"/>
        <w:autoSpaceDE w:val="0"/>
        <w:widowControl/>
        <w:spacing w:line="245" w:lineRule="auto" w:before="348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138-A. Serão consideradas INFRAÇÕES os procedimentos irregulares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ação ou omissão de exclusiva responsabilidade do usuário: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I. Utilização indevida de água para fins distintos daquele contratado, bem como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desperdício de água em períodos oficiais de estiagem e racionamento, sujeito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à multa prevista em lei municipal;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II. Ausência de caixa de inspeção no ramal de esgoto em logradouro público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(testada do imóvel);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III. Instalação de qualquer equipamento ou dispositivo no cavalete ou na caixa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proteção do hidrômetro, sem consentimento expresso do PRESTADOR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IV. Lanças resíduos sólidos na rede coletora de esgoto que possam prejudicar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seu correto funcionamento;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V. Violação do lacre e/ou do hidrômetro, adulteração ou manipulação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registro do aparelho de medição ou caixa de proteção instalada, utilizando-se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artifícios que visem alterar a leitura ou o consumo de água do imóvel;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450 – 27/09/2022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282" w:right="1056" w:bottom="55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</wp:posOffset>
            </wp:positionH>
            <wp:positionV relativeFrom="page">
              <wp:posOffset>9725660</wp:posOffset>
            </wp:positionV>
            <wp:extent cx="7556500" cy="96284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28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359410</wp:posOffset>
            </wp:positionV>
            <wp:extent cx="2491740" cy="5003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5003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9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VI. Ligação clandestina de água e esgoto;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VII. Intervenção nas instalações dos sistemas públicos de água e esgotos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possam afetar a eficiência dos serviços;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VIII. Instalação hidráulica predial de água ligada à rede pública interligada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alimentada por outras fontes;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IX. Danificação propositada, inversão ou supressão do hidrômetro;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X. Restabelecimento irregular do abastecimento de água em ligações cortadas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cavalete;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XI. Restabelecimento irregular do abastecimento de água em ligações cortadas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ramal;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XII. Violação do lacre de proteção do cavalete e do hidrômetro;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XIII. Lançamento de águas pluviais nas instalações ou coletores prediais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esgotos sanitários;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XIV. Lançamento de esgoto nas instalações ou coletores de águas pluviais;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XV. Execução de derivações de vazão, permanentemente ou transitoriamente,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antes do aparelho de medição;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XVI. Interligação de instalações prediais de água entre imóveis distintos,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sem débito;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XVII. Intervir, com ou sem dano, no ramal de derivação de água ou ramal coletor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esgoto;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XVIII. Derivação do ramal predial antes do hidrômetro (by-pass);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XIX. Qualquer ação realizada com o intuito de alterar o real consumo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água/ou esgoto;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XX. Instalação de aparelhos eliminadores ou supressores de ar antes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hidrômetro;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XXI. Impedimento voluntário à promoção de leitura do hidrômetro, ou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execução de serviços de manutenção do cavalete e hidrômetro pelo PRESTADOR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XXII. Utilização indevida do hidrante instalado na área interna do imóvel;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XXIII. Lacrar a tampa da caixa de inspeção de esgoto;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XXIV. Lançamento de despejos na rede pública de esgotamento sanitário, sem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prévia autorização do PRESTADOR DE SERVIÇOS;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XXV. Efetuar lançamentos proibidos, nos termos do presente Regulamento.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XXVI. Instalação de bomba ou quaisquer dispositivos no ramal predial ou na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rede de distribuição. </w:t>
      </w:r>
    </w:p>
    <w:p>
      <w:pPr>
        <w:autoSpaceDN w:val="0"/>
        <w:autoSpaceDE w:val="0"/>
        <w:widowControl/>
        <w:spacing w:line="197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1º. Constituem infrações de natureza LEVE aquelas descritas nos itens III e IV. </w:t>
      </w:r>
    </w:p>
    <w:p>
      <w:pPr>
        <w:autoSpaceDN w:val="0"/>
        <w:autoSpaceDE w:val="0"/>
        <w:widowControl/>
        <w:spacing w:line="245" w:lineRule="auto" w:before="344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2º. Constituem infrações de natureza GRAVE aquelas descritas nos incisos V,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VI, VII, VIII, IX, X, XI, XII, XIII, XIV, XV, XVI, XVII, XVIII, XIX, XX, XXI, XXII, XXIII, XXIV,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XXV e XXVI. </w:t>
      </w:r>
    </w:p>
    <w:p>
      <w:pPr>
        <w:autoSpaceDN w:val="0"/>
        <w:autoSpaceDE w:val="0"/>
        <w:widowControl/>
        <w:spacing w:line="245" w:lineRule="auto" w:before="346" w:after="0"/>
        <w:ind w:left="170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3º. A reincidência em infração LEVE será considerada como infração GRAVE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punida como tal, ao passo que a reincidência em infração GRAVE será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considerada como infração GRAVÍSSIMA e punida como tal.”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450 – 27/09/2022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41"/>
          <w:pgMar w:top="284" w:right="1056" w:bottom="55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9718040</wp:posOffset>
            </wp:positionV>
            <wp:extent cx="7564120" cy="97806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97806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2622550</wp:posOffset>
            </wp:positionH>
            <wp:positionV relativeFrom="page">
              <wp:posOffset>359410</wp:posOffset>
            </wp:positionV>
            <wp:extent cx="2491740" cy="5003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5003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02" w:val="left"/>
        </w:tabs>
        <w:autoSpaceDE w:val="0"/>
        <w:widowControl/>
        <w:spacing w:line="305" w:lineRule="auto" w:before="3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A Resolução ARES-PCJ nº 425, de 01 de abril de 2022, passa vigorar acrescida da alínea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‘d’, no inciso IV, do art. 140: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140.................................................................................................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IV............................................................................................................ </w:t>
      </w:r>
    </w:p>
    <w:p>
      <w:pPr>
        <w:autoSpaceDN w:val="0"/>
        <w:tabs>
          <w:tab w:pos="1702" w:val="left"/>
        </w:tabs>
        <w:autoSpaceDE w:val="0"/>
        <w:widowControl/>
        <w:spacing w:line="312" w:lineRule="auto" w:before="34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d) No caso de inviabilidade de aplicação dos critérios previstos nas alíneas ‘a’,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‘b’ e ‘c’, o cálculo será determinado através da apuração da média de consumo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 base na leitura coletada no hidrômetro novo.”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Ficam revogados os arts. 138 e 139 da Resolução ARES-PCJ nº 425, de 01 de abril de 2022.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6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450 – 27/09/2022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sectPr w:rsidR="00FC693F" w:rsidRPr="0006063C" w:rsidSect="00034616">
      <w:pgSz w:w="11906" w:h="16841"/>
      <w:pgMar w:top="284" w:right="1056" w:bottom="55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