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9785350</wp:posOffset>
            </wp:positionV>
            <wp:extent cx="7731759" cy="98517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1759" cy="9851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491, DE 12 DE MAIO DE 2023 </w:t>
      </w:r>
    </w:p>
    <w:p>
      <w:pPr>
        <w:autoSpaceDN w:val="0"/>
        <w:autoSpaceDE w:val="0"/>
        <w:widowControl/>
        <w:spacing w:line="245" w:lineRule="auto" w:before="346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da Tarifa Referencial da Água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(TRA), da Tarifa Referencial do Esgoto (TRE) e tarifas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demais serviços prestados pela concessionária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BRK Ambiental Limeira S/A, no município de Limeira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–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07/1994, o Município de Limeira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plena para a execução de obras e serviços na gestão dos sistemas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sanitário, serviços esses operados pela BRK Ambiental Limeira S/A;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e na Lei municipal nº 5.157, de 26/08/2013,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Limeira ratificou o Protocolo de Intenções e delegou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de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BRK Ambiental Limeira S/A, concessionária responsável pelos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tratada e esgotamento sanitário do Município de Limeira,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nos valores das Tarifas Referencial de Água (TRA) e Referencial de Esgoto (TRE),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reposição das perdas inflacionárias com base na fórmula paramétrica definida no 14º (décimo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quarto) Termo de Aditamento ao Contrato (de 28 de maio de 2015);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16/2023-CRO,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Limeira,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Mun. nº 5.210/2013, e seus membros nomeados pelo Decreto nº 169/2022, reunido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11 de maio de 2023 apreciou o Parecer Consolidado ARES-PCJ nº 16/2023-CRO, contendo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índices propostos para o reajuste dos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praticados pela empresa concessionária BRK Ambiental Limeira S/A,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Limeira, a Diretoria Executiva da ARES-PCJ, reunida em 12 de maio de 2023,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491 – 12/05/2023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52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9307830</wp:posOffset>
            </wp:positionV>
            <wp:extent cx="7731759" cy="98517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1759" cy="9851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 Tarifa Referencial de Água (TRA) e da Tarifa Referencial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(TRE), praticados pela empresa BRK Ambiental Limeira S/A, 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6,11% (seis inteiros e onze </w:t>
      </w:r>
      <w:r>
        <w:rPr>
          <w:rFonts w:ascii="Calibri" w:hAnsi="Calibri" w:eastAsia="Calibri"/>
          <w:b w:val="0"/>
          <w:i/>
          <w:color w:val="000000"/>
          <w:sz w:val="24"/>
        </w:rPr>
        <w:t>centésimos por cento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). </w:t>
      </w:r>
    </w:p>
    <w:p>
      <w:pPr>
        <w:autoSpaceDN w:val="0"/>
        <w:autoSpaceDE w:val="0"/>
        <w:widowControl/>
        <w:spacing w:line="245" w:lineRule="auto" w:before="344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valores da Tarifa Referencial de Água (TRA) e da Tarifa Referencial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(TRE), praticados pela empresa BRK Ambiental Limeira S/A passarão dos atuais R$ 6,45 (seis reais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quarenta e cinco centavos), para R$ 6,84 (seis reais e oitenta e quatro centavos) nas contas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>emitidas a partir de junho</w:t>
      </w:r>
      <w:r>
        <w:rPr>
          <w:rFonts w:ascii="Calibri" w:hAnsi="Calibri" w:eastAsia="Calibri"/>
          <w:b w:val="0"/>
          <w:i w:val="0"/>
          <w:color w:val="000000"/>
          <w:sz w:val="16"/>
        </w:rPr>
        <w:t>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2023, conforme Tabela 1, do Anexo I; </w:t>
      </w:r>
    </w:p>
    <w:p>
      <w:pPr>
        <w:autoSpaceDN w:val="0"/>
        <w:autoSpaceDE w:val="0"/>
        <w:widowControl/>
        <w:spacing w:line="245" w:lineRule="auto" w:before="348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Fixar, em função do reajuste da Tarifa Referencial de Água (TRA) e da Tarifa Referencial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(TRE), os novos valores para as Tarifas de Água e Esgoto, em todas as faixas e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consumo, conforme Tabela 1 do Anexo I, desta Resolução. </w:t>
      </w:r>
    </w:p>
    <w:p>
      <w:pPr>
        <w:autoSpaceDN w:val="0"/>
        <w:autoSpaceDE w:val="0"/>
        <w:widowControl/>
        <w:spacing w:line="245" w:lineRule="auto" w:before="344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e fixar novo valor para a Tabela de Prestação de Serviços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contratual IPCA-E, acumulado nos últimos 12 meses 5,36% (cinco inteiros e trinta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passando a ser remunerados conforme Tabela 1 do Anexo II,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Fixar, em função do reajuste da Tarifa Referencial de Esgoto (TRE), os novos valores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relativa ao Grau Poluente do Efluente, conforme Tabela 2 do Anexo II, desta Resolução. </w:t>
      </w:r>
    </w:p>
    <w:p>
      <w:pPr>
        <w:autoSpaceDN w:val="0"/>
        <w:autoSpaceDE w:val="0"/>
        <w:widowControl/>
        <w:spacing w:line="245" w:lineRule="auto" w:before="34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reajustes referentes à Tabela de Prestação de Serviços e parcela relativa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>Grau Poluente do Efluente também serão aplicados a partir de junho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2023. </w:t>
      </w:r>
    </w:p>
    <w:p>
      <w:pPr>
        <w:autoSpaceDN w:val="0"/>
        <w:autoSpaceDE w:val="0"/>
        <w:widowControl/>
        <w:spacing w:line="245" w:lineRule="auto" w:before="348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a empresa BRK Ambiental Limeira S/A,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estabelecidos nesta Resolução, em 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BRK Ambiental Limeira S/A, após 30 (trinta) dias da publicação desta Resolução,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íntegra, na imprensa oficial, ou em jornal de circulação no Município de Limeira,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28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empresa BRK Ambiental Limeira S/A, somente realizará as leituras/medições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as emissões das respectivas Contas/Faturas com os novos valores das Tarifas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64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autoSpaceDE w:val="0"/>
        <w:widowControl/>
        <w:spacing w:line="230" w:lineRule="exact" w:before="372" w:after="0"/>
        <w:ind w:left="28" w:right="676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Corrigido para junho de 2023.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Corrigido para junho de 2023. </w:t>
      </w:r>
    </w:p>
    <w:p>
      <w:pPr>
        <w:autoSpaceDN w:val="0"/>
        <w:tabs>
          <w:tab w:pos="9102" w:val="left"/>
        </w:tabs>
        <w:autoSpaceDE w:val="0"/>
        <w:widowControl/>
        <w:spacing w:line="197" w:lineRule="auto" w:before="17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491 – 12/05/2023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52" w:right="1058" w:bottom="520" w:left="1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9785350</wp:posOffset>
            </wp:positionV>
            <wp:extent cx="7731759" cy="98517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1759" cy="9851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18" w:after="300"/>
        <w:ind w:left="1440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491, DE 12 DE MAIO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48"/>
        </w:trPr>
        <w:tc>
          <w:tcPr>
            <w:tcW w:type="dxa" w:w="3004"/>
            <w:vMerge w:val="restart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CATEGORIAS DE USO </w:t>
            </w:r>
          </w:p>
        </w:tc>
        <w:tc>
          <w:tcPr>
            <w:tcW w:type="dxa" w:w="323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CLASSES DE CONSUMO </w:t>
            </w:r>
          </w:p>
        </w:tc>
        <w:tc>
          <w:tcPr>
            <w:tcW w:type="dxa" w:w="2832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</w:t>
            </w:r>
          </w:p>
        </w:tc>
      </w:tr>
      <w:tr>
        <w:trPr>
          <w:trHeight w:hRule="exact" w:val="596"/>
        </w:trPr>
        <w:tc>
          <w:tcPr>
            <w:tcW w:type="dxa" w:w="1848"/>
            <w:vMerge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CÓDIGO </w:t>
            </w:r>
          </w:p>
        </w:tc>
        <w:tc>
          <w:tcPr>
            <w:tcW w:type="dxa" w:w="19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(m3/mês.econ) </w:t>
            </w:r>
          </w:p>
        </w:tc>
        <w:tc>
          <w:tcPr>
            <w:tcW w:type="dxa" w:w="13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AGUA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(R$/m³) </w:t>
            </w:r>
          </w:p>
        </w:tc>
        <w:tc>
          <w:tcPr>
            <w:tcW w:type="dxa" w:w="15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(R$/m³) </w:t>
            </w:r>
          </w:p>
        </w:tc>
      </w:tr>
      <w:tr>
        <w:trPr>
          <w:trHeight w:hRule="exact" w:val="348"/>
        </w:trPr>
        <w:tc>
          <w:tcPr>
            <w:tcW w:type="dxa" w:w="30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RESIDENCIAL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R1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3,08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3,08</w:t>
            </w:r>
          </w:p>
        </w:tc>
      </w:tr>
      <w:tr>
        <w:trPr>
          <w:trHeight w:hRule="exact" w:val="352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R2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4,24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4,24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R3 </w:t>
            </w:r>
          </w:p>
        </w:tc>
        <w:tc>
          <w:tcPr>
            <w:tcW w:type="dxa" w:w="19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3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8,41</w:t>
            </w:r>
          </w:p>
        </w:tc>
        <w:tc>
          <w:tcPr>
            <w:tcW w:type="dxa" w:w="15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8,41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R4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10,94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10,94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R5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13,68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13,68</w:t>
            </w:r>
          </w:p>
        </w:tc>
      </w:tr>
      <w:tr>
        <w:trPr>
          <w:trHeight w:hRule="exact" w:val="352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R6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17,10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17,10</w:t>
            </w:r>
          </w:p>
        </w:tc>
      </w:tr>
      <w:tr>
        <w:trPr>
          <w:trHeight w:hRule="exact" w:val="348"/>
        </w:trPr>
        <w:tc>
          <w:tcPr>
            <w:tcW w:type="dxa" w:w="3004"/>
            <w:vMerge w:val="restart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RESIDENCIAL POPULAR 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RP1 </w:t>
            </w:r>
          </w:p>
        </w:tc>
        <w:tc>
          <w:tcPr>
            <w:tcW w:type="dxa" w:w="19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1,37</w:t>
            </w:r>
          </w:p>
        </w:tc>
        <w:tc>
          <w:tcPr>
            <w:tcW w:type="dxa" w:w="151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1,37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RP2 </w:t>
            </w:r>
          </w:p>
        </w:tc>
        <w:tc>
          <w:tcPr>
            <w:tcW w:type="dxa" w:w="19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3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1,37</w:t>
            </w:r>
          </w:p>
        </w:tc>
        <w:tc>
          <w:tcPr>
            <w:tcW w:type="dxa" w:w="15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1,37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RP3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5,81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5,81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RP4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10,26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10,26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RP5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13,68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13,68</w:t>
            </w:r>
          </w:p>
        </w:tc>
      </w:tr>
      <w:tr>
        <w:trPr>
          <w:trHeight w:hRule="exact" w:val="352"/>
        </w:trPr>
        <w:tc>
          <w:tcPr>
            <w:tcW w:type="dxa" w:w="1848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RP6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17,10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17,10</w:t>
            </w:r>
          </w:p>
        </w:tc>
      </w:tr>
      <w:tr>
        <w:trPr>
          <w:trHeight w:hRule="exact" w:val="348"/>
        </w:trPr>
        <w:tc>
          <w:tcPr>
            <w:tcW w:type="dxa" w:w="3004"/>
            <w:vMerge w:val="restart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COMERCIAL 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C1 </w:t>
            </w:r>
          </w:p>
        </w:tc>
        <w:tc>
          <w:tcPr>
            <w:tcW w:type="dxa" w:w="19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6,84</w:t>
            </w:r>
          </w:p>
        </w:tc>
        <w:tc>
          <w:tcPr>
            <w:tcW w:type="dxa" w:w="15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6,84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C2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10,26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10,26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C3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10,26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10,26</w:t>
            </w:r>
          </w:p>
        </w:tc>
      </w:tr>
      <w:tr>
        <w:trPr>
          <w:trHeight w:hRule="exact" w:val="352"/>
        </w:trPr>
        <w:tc>
          <w:tcPr>
            <w:tcW w:type="dxa" w:w="1848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C4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17,10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17,10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C5 </w:t>
            </w:r>
          </w:p>
        </w:tc>
        <w:tc>
          <w:tcPr>
            <w:tcW w:type="dxa" w:w="19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23,94</w:t>
            </w:r>
          </w:p>
        </w:tc>
        <w:tc>
          <w:tcPr>
            <w:tcW w:type="dxa" w:w="15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23,94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C6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30,78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30,78</w:t>
            </w:r>
          </w:p>
        </w:tc>
      </w:tr>
      <w:tr>
        <w:trPr>
          <w:trHeight w:hRule="exact" w:val="350"/>
        </w:trPr>
        <w:tc>
          <w:tcPr>
            <w:tcW w:type="dxa" w:w="30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INDUSTRIAL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I1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6,84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6,84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I2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6,84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6,84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I3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10,94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10,94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I4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17,78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17,78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I5 </w:t>
            </w:r>
          </w:p>
        </w:tc>
        <w:tc>
          <w:tcPr>
            <w:tcW w:type="dxa" w:w="197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3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24,62</w:t>
            </w:r>
          </w:p>
        </w:tc>
        <w:tc>
          <w:tcPr>
            <w:tcW w:type="dxa" w:w="151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24,62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I6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31,46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31,46</w:t>
            </w:r>
          </w:p>
        </w:tc>
      </w:tr>
      <w:tr>
        <w:trPr>
          <w:trHeight w:hRule="exact" w:val="350"/>
        </w:trPr>
        <w:tc>
          <w:tcPr>
            <w:tcW w:type="dxa" w:w="30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PÚBLICA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P1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4,10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4,10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P2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7,52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7,52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P3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7,52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7,52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P4 </w:t>
            </w:r>
          </w:p>
        </w:tc>
        <w:tc>
          <w:tcPr>
            <w:tcW w:type="dxa" w:w="197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3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10,94</w:t>
            </w:r>
          </w:p>
        </w:tc>
        <w:tc>
          <w:tcPr>
            <w:tcW w:type="dxa" w:w="151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10,94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P5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17,10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17,10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P6 </w:t>
            </w:r>
          </w:p>
        </w:tc>
        <w:tc>
          <w:tcPr>
            <w:tcW w:type="dxa" w:w="1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20,52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20,52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6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491 – 12/05/2023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52" w:right="124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9785350</wp:posOffset>
            </wp:positionV>
            <wp:extent cx="7731759" cy="98517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1759" cy="9851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8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4" w:after="0"/>
        <w:ind w:left="568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Água Mínima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3,08 = R$ 30,80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8" w:after="0"/>
        <w:ind w:left="568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Esgoto Mínima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3,08 = R$ 30,80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56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R$ 30,08) + (Tarifa de Esgoto = R$ 30,08)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R$ 30,80 + R$ 30,80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R$ 61,60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56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491 – 12/05/2023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52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9785350</wp:posOffset>
            </wp:positionV>
            <wp:extent cx="7731759" cy="98517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1759" cy="9851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491, DE 12 DE MAIO DE 2023 </w:t>
      </w:r>
    </w:p>
    <w:p>
      <w:pPr>
        <w:autoSpaceDN w:val="0"/>
        <w:autoSpaceDE w:val="0"/>
        <w:widowControl/>
        <w:spacing w:line="197" w:lineRule="auto" w:before="53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9"/>
        <w:gridCol w:w="3129"/>
        <w:gridCol w:w="3129"/>
      </w:tblGrid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No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SERVIÇOS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(R$)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cavalete ¾”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90,92 </w:t>
            </w:r>
          </w:p>
        </w:tc>
      </w:tr>
      <w:tr>
        <w:trPr>
          <w:trHeight w:hRule="exact" w:val="35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de ¾" danificado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181,18 </w:t>
            </w:r>
          </w:p>
        </w:tc>
      </w:tr>
      <w:tr>
        <w:trPr>
          <w:trHeight w:hRule="exact" w:val="352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09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ligação de água de ¾" danificada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213,63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ligação de esgoto de 4 danificada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467,48 </w:t>
            </w:r>
          </w:p>
        </w:tc>
      </w:tr>
      <w:tr>
        <w:trPr>
          <w:trHeight w:hRule="exact" w:val="34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no cavalete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169,20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na ligação ou por outros meios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266,80 </w:t>
            </w:r>
          </w:p>
        </w:tc>
      </w:tr>
      <w:tr>
        <w:trPr>
          <w:trHeight w:hRule="exact" w:val="35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da ligação de água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359,40 </w:t>
            </w:r>
          </w:p>
        </w:tc>
      </w:tr>
      <w:tr>
        <w:trPr>
          <w:trHeight w:hRule="exact" w:val="352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09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Domiciliar até duas economias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81,75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de ¾” sem pavimento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649,26 </w:t>
            </w:r>
          </w:p>
        </w:tc>
      </w:tr>
      <w:tr>
        <w:trPr>
          <w:trHeight w:hRule="exact" w:val="59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caixa na calçada quando de execução de ligação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¾” ou remanejamento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344,76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Ligação de esgoto de 4" sem pavimento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805,68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Segunda via de conta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8,61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Declaração negativa de débitos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8,61 </w:t>
            </w:r>
          </w:p>
        </w:tc>
      </w:tr>
      <w:tr>
        <w:trPr>
          <w:trHeight w:hRule="exact" w:val="34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Aferição de hidrômetro 1,5 a 5 m³/h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129,87 </w:t>
            </w:r>
          </w:p>
        </w:tc>
      </w:tr>
      <w:tr>
        <w:trPr>
          <w:trHeight w:hRule="exact" w:val="352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09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Aferição de hidrômetro acima de 5 m³/h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409,37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Teste de hidrômetro 1,5 a 5 m³/h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81,75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Pavimentação em metro linear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122,71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Remanejamento de ligação de água de ¾” inferior a 2 metros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259,93 </w:t>
            </w:r>
          </w:p>
        </w:tc>
      </w:tr>
      <w:tr>
        <w:trPr>
          <w:trHeight w:hRule="exact" w:val="35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Remanejamento de ligação de água de ¾” superior a 2 metros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1.008,61 </w:t>
            </w:r>
          </w:p>
        </w:tc>
      </w:tr>
      <w:tr>
        <w:trPr>
          <w:trHeight w:hRule="exact" w:val="59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Conserto de rede de água danificada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custo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apurado </w:t>
            </w:r>
          </w:p>
        </w:tc>
      </w:tr>
      <w:tr>
        <w:trPr>
          <w:trHeight w:hRule="exact" w:val="59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Conserto de rede de esgoto danificada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custo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apurado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3456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491 – 12/05/2023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52" w:right="1106" w:bottom="520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9785350</wp:posOffset>
            </wp:positionV>
            <wp:extent cx="7731759" cy="98517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1759" cy="9851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8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491, DE 12 DE MAIO DE 2023 </w:t>
      </w:r>
    </w:p>
    <w:p>
      <w:pPr>
        <w:autoSpaceDN w:val="0"/>
        <w:autoSpaceDE w:val="0"/>
        <w:widowControl/>
        <w:spacing w:line="338" w:lineRule="auto" w:before="532" w:after="296"/>
        <w:ind w:left="720" w:right="5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TABELA 2 - PARCELA RELATIVA AO GRAU POLUENTE DO EFLUENTE, EM R$/KG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240"/>
      </w:tblGrid>
      <w:tr>
        <w:trPr>
          <w:trHeight w:hRule="exact" w:val="350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d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ETG = (A + B + C) </w:t>
            </w:r>
          </w:p>
        </w:tc>
      </w:tr>
      <w:tr>
        <w:trPr>
          <w:trHeight w:hRule="exact" w:val="350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Onde: </w:t>
            </w:r>
          </w:p>
        </w:tc>
      </w:tr>
      <w:tr>
        <w:trPr>
          <w:trHeight w:hRule="exact" w:val="352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TRE </w:t>
            </w:r>
          </w:p>
        </w:tc>
      </w:tr>
      <w:tr>
        <w:trPr>
          <w:trHeight w:hRule="exact" w:val="352"/>
        </w:trPr>
        <w:tc>
          <w:tcPr>
            <w:tcW w:type="dxa" w:w="907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TRE </w:t>
            </w:r>
          </w:p>
        </w:tc>
      </w:tr>
      <w:tr>
        <w:trPr>
          <w:trHeight w:hRule="exact" w:val="350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100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TRE</w:t>
            </w:r>
          </w:p>
        </w:tc>
      </w:tr>
      <w:tr>
        <w:trPr>
          <w:trHeight w:hRule="exact" w:val="886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4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 (Matéria Orgânica)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: Concentração média mensal excedente nos dias trabalhados,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relação ao previsto na presente norma, em Kgl/m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de matéria orgânica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(MO)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conforme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seguinte equação: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(2 x DBO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5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 20° C + DQO) /3</w:t>
            </w:r>
          </w:p>
        </w:tc>
      </w:tr>
      <w:tr>
        <w:trPr>
          <w:trHeight w:hRule="exact" w:val="890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6" w:right="4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 (Sólidos Suspensos Totais):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Concentração média mensal excedente nos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trabalhados, em relação ao previsto na presente norma, em Kg/m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de Sólidos Suspensos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Totais. </w:t>
            </w:r>
          </w:p>
        </w:tc>
      </w:tr>
      <w:tr>
        <w:trPr>
          <w:trHeight w:hRule="exact" w:val="890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6" w:right="4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 (Substâncias Inibidoras e Tóxicas ao processo de tratamento):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Concentração média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mensal (Kg/m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) excedente nos dias trabalhados, em relação ao previsto para cada um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parâmetros constantes nas normas internas do concessionário. 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112" w:right="43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Legenda: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TRE: Taxa Referencial de Esgoto dada em R$/kg. </w:t>
      </w:r>
    </w:p>
    <w:p>
      <w:pPr>
        <w:autoSpaceDN w:val="0"/>
        <w:autoSpaceDE w:val="0"/>
        <w:widowControl/>
        <w:spacing w:line="245" w:lineRule="auto" w:before="54" w:after="0"/>
        <w:ind w:left="112" w:right="259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DBO</w:t>
      </w:r>
      <w:r>
        <w:rPr>
          <w:rFonts w:ascii="Calibri" w:hAnsi="Calibri" w:eastAsia="Calibri"/>
          <w:b w:val="0"/>
          <w:i w:val="0"/>
          <w:color w:val="000000"/>
          <w:sz w:val="16"/>
        </w:rPr>
        <w:t>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Demanda Bioquímica de Oxigênio, durante 5 dias, a 200 C.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DQO: Demanda Química de Oxigênio.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0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491 – 12/05/2023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6" w:h="16838"/>
      <w:pgMar w:top="252" w:right="1248" w:bottom="52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