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1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498, DE 02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</w:p>
    <w:p>
      <w:pPr>
        <w:autoSpaceDN w:val="0"/>
        <w:autoSpaceDE w:val="0"/>
        <w:widowControl/>
        <w:spacing w:line="245" w:lineRule="auto" w:before="638" w:after="0"/>
        <w:ind w:left="397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Água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Esgoto e dos Preços Públicos dos Demais Serviços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serem aplicados no Município de Iracemápolis – SP, e dá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73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7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1.844/2010,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Iracemápolis ratificou o Protocolo de Intenções da Agência Reguladora 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fiscalização da qualidade da prestação dos serviços de saneamento básico à ARES-PCJ;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Departamento de Água e Esgoto de Iracemápolis, responsável pelos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tratada e esgotamento sanitário do Município de Iracemápolis,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 Resolução ARES-PCJ nº 115, de 17/12/2015, solicitou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 por ele prestados;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25/2023-DFB,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pedido de reajuste tarifário, por vislumbrar plena regularidade do pleito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composição documental, base jurídico-legal e atendimento aos prazos e premissas definidas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esta Agência Reguladora;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Iracemápolis,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Municipal nº 2.737/2013 e com seus membros nomeados pela Decreto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4.027 de 03/10/2022, reunido no dia 01 de junho de 2023, analisou e aprovou o conteúdo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nº 25/2023-DFB, inclusive os índices propostos para o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Iracemápolis e;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Iracemápolis, a Diretoria Executiva da ARES-PCJ, reunida no dia 02 de junho de 2023,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8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498 – 02/06/2023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1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Iracemápolis em 25,86% (vinte e cinco inteiros e oitenta e seis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Departamento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Iracemápolis a partir de julho de 2023, em todas as categorias e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Departamento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Iracemápolis,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Iracemápolis, em 4,65% (quatro inteiros e sessenta e cinco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Departamento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Iracemápolis, a partir de julho de 2023.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Iracemápolis, conforme apresentado na Tabela 1,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Departamento de Água e Esgoto de Iracemápolis, afixará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tabelas com os novos valores das Tarifas de Água e Esgoto e dos Preços Públicos do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em local de fácil acesso e em seu sítio na Internet.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Iracemápolis,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Iracemápolis,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11.445/2007, respeitando o período mínimo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 (doze) 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Departamento de Água e Esgoto de Iracemápolis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caput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7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498 – 02/06/2023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1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454" w:after="4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498, DE 02 DE JUNHO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38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852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3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9,80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16,66 </w:t>
            </w:r>
          </w:p>
        </w:tc>
      </w:tr>
      <w:tr>
        <w:trPr>
          <w:trHeight w:hRule="exact" w:val="342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1,54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1,07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2,61 </w:t>
            </w:r>
          </w:p>
        </w:tc>
      </w:tr>
      <w:tr>
        <w:trPr>
          <w:trHeight w:hRule="exact" w:val="33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2,14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1,50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</w:tr>
      <w:tr>
        <w:trPr>
          <w:trHeight w:hRule="exact" w:val="34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4,18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2,92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7,10 </w:t>
            </w:r>
          </w:p>
        </w:tc>
      </w:tr>
      <w:tr>
        <w:trPr>
          <w:trHeight w:hRule="exact" w:val="326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6,18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4,33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10,51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4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656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19,61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13,73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33,34 </w:t>
            </w:r>
          </w:p>
        </w:tc>
      </w:tr>
      <w:tr>
        <w:trPr>
          <w:trHeight w:hRule="exact" w:val="34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2,04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1,42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3,46 </w:t>
            </w:r>
          </w:p>
        </w:tc>
      </w:tr>
      <w:tr>
        <w:trPr>
          <w:trHeight w:hRule="exact" w:val="34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2,14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1,50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</w:tr>
      <w:tr>
        <w:trPr>
          <w:trHeight w:hRule="exact" w:val="34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4,18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2,92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7,10 </w:t>
            </w:r>
          </w:p>
        </w:tc>
      </w:tr>
      <w:tr>
        <w:trPr>
          <w:trHeight w:hRule="exact" w:val="324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6,18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4,33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10,51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4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656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38"/>
        </w:trPr>
        <w:tc>
          <w:tcPr>
            <w:tcW w:type="dxa" w:w="2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24,51 </w:t>
            </w:r>
          </w:p>
        </w:tc>
        <w:tc>
          <w:tcPr>
            <w:tcW w:type="dxa" w:w="21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17,16 </w:t>
            </w:r>
          </w:p>
        </w:tc>
        <w:tc>
          <w:tcPr>
            <w:tcW w:type="dxa" w:w="168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41,67 </w:t>
            </w:r>
          </w:p>
        </w:tc>
      </w:tr>
      <w:tr>
        <w:trPr>
          <w:trHeight w:hRule="exact" w:val="34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2,54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1,77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4,31 </w:t>
            </w:r>
          </w:p>
        </w:tc>
      </w:tr>
      <w:tr>
        <w:trPr>
          <w:trHeight w:hRule="exact" w:val="342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2,69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1,89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4,58 </w:t>
            </w:r>
          </w:p>
        </w:tc>
      </w:tr>
      <w:tr>
        <w:trPr>
          <w:trHeight w:hRule="exact" w:val="33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5,21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3,65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8,86 </w:t>
            </w:r>
          </w:p>
        </w:tc>
      </w:tr>
      <w:tr>
        <w:trPr>
          <w:trHeight w:hRule="exact" w:val="32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7,83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5,48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13,31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42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656"/>
        </w:trPr>
        <w:tc>
          <w:tcPr>
            <w:tcW w:type="dxa" w:w="2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0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8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1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8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27,44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19,21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46,65 </w:t>
            </w:r>
          </w:p>
        </w:tc>
      </w:tr>
      <w:tr>
        <w:trPr>
          <w:trHeight w:hRule="exact" w:val="340"/>
        </w:trPr>
        <w:tc>
          <w:tcPr>
            <w:tcW w:type="dxa" w:w="254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08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8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2,86 </w:t>
            </w:r>
          </w:p>
        </w:tc>
        <w:tc>
          <w:tcPr>
            <w:tcW w:type="dxa" w:w="2150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2,00 </w:t>
            </w:r>
          </w:p>
        </w:tc>
        <w:tc>
          <w:tcPr>
            <w:tcW w:type="dxa" w:w="1684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4,86 </w:t>
            </w:r>
          </w:p>
        </w:tc>
      </w:tr>
      <w:tr>
        <w:trPr>
          <w:trHeight w:hRule="exact" w:val="34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3,03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2,13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5,16 </w:t>
            </w:r>
          </w:p>
        </w:tc>
      </w:tr>
      <w:tr>
        <w:trPr>
          <w:trHeight w:hRule="exact" w:val="34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5,83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4,08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9,91 </w:t>
            </w:r>
          </w:p>
        </w:tc>
      </w:tr>
      <w:tr>
        <w:trPr>
          <w:trHeight w:hRule="exact" w:val="326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8,75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6,13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14,88 </w:t>
            </w:r>
          </w:p>
        </w:tc>
      </w:tr>
    </w:tbl>
    <w:p>
      <w:pPr>
        <w:autoSpaceDN w:val="0"/>
        <w:autoSpaceDE w:val="0"/>
        <w:widowControl/>
        <w:spacing w:line="5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88"/>
        <w:gridCol w:w="4688"/>
      </w:tblGrid>
      <w:tr>
        <w:trPr>
          <w:trHeight w:hRule="exact" w:val="238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498 – 02/06/2023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111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96"/>
        <w:ind w:left="0" w:right="31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38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RURAL </w:t>
            </w:r>
          </w:p>
        </w:tc>
      </w:tr>
      <w:tr>
        <w:trPr>
          <w:trHeight w:hRule="exact" w:val="65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19,61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13,73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33,34 </w:t>
            </w:r>
          </w:p>
        </w:tc>
      </w:tr>
      <w:tr>
        <w:trPr>
          <w:trHeight w:hRule="exact" w:val="34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2,04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1,42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3,46 </w:t>
            </w:r>
          </w:p>
        </w:tc>
      </w:tr>
      <w:tr>
        <w:trPr>
          <w:trHeight w:hRule="exact" w:val="340"/>
        </w:trPr>
        <w:tc>
          <w:tcPr>
            <w:tcW w:type="dxa" w:w="25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0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2,14 </w:t>
            </w:r>
          </w:p>
        </w:tc>
        <w:tc>
          <w:tcPr>
            <w:tcW w:type="dxa" w:w="215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1,50 </w:t>
            </w:r>
          </w:p>
        </w:tc>
        <w:tc>
          <w:tcPr>
            <w:tcW w:type="dxa" w:w="168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</w:tr>
      <w:tr>
        <w:trPr>
          <w:trHeight w:hRule="exact" w:val="34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4,18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2,92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7,10 </w:t>
            </w:r>
          </w:p>
        </w:tc>
      </w:tr>
      <w:tr>
        <w:trPr>
          <w:trHeight w:hRule="exact" w:val="322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6,18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4,33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10,51 </w:t>
            </w:r>
          </w:p>
        </w:tc>
      </w:tr>
    </w:tbl>
    <w:p>
      <w:pPr>
        <w:autoSpaceDN w:val="0"/>
        <w:autoSpaceDE w:val="0"/>
        <w:widowControl/>
        <w:spacing w:line="3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42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PÚBLICO ESTADUAL </w:t>
            </w:r>
          </w:p>
        </w:tc>
      </w:tr>
      <w:tr>
        <w:trPr>
          <w:trHeight w:hRule="exact" w:val="652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2"/>
        </w:trPr>
        <w:tc>
          <w:tcPr>
            <w:tcW w:type="dxa" w:w="2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19,61 </w:t>
            </w:r>
          </w:p>
        </w:tc>
        <w:tc>
          <w:tcPr>
            <w:tcW w:type="dxa" w:w="21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13,73 </w:t>
            </w:r>
          </w:p>
        </w:tc>
        <w:tc>
          <w:tcPr>
            <w:tcW w:type="dxa" w:w="168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33,34 </w:t>
            </w:r>
          </w:p>
        </w:tc>
      </w:tr>
      <w:tr>
        <w:trPr>
          <w:trHeight w:hRule="exact" w:val="34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2,04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1,42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3,46 </w:t>
            </w:r>
          </w:p>
        </w:tc>
      </w:tr>
      <w:tr>
        <w:trPr>
          <w:trHeight w:hRule="exact" w:val="33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2,14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1,50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</w:tr>
      <w:tr>
        <w:trPr>
          <w:trHeight w:hRule="exact" w:val="342"/>
        </w:trPr>
        <w:tc>
          <w:tcPr>
            <w:tcW w:type="dxa" w:w="2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0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4,18 </w:t>
            </w:r>
          </w:p>
        </w:tc>
        <w:tc>
          <w:tcPr>
            <w:tcW w:type="dxa" w:w="21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2,92 </w:t>
            </w:r>
          </w:p>
        </w:tc>
        <w:tc>
          <w:tcPr>
            <w:tcW w:type="dxa" w:w="168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7,10 </w:t>
            </w:r>
          </w:p>
        </w:tc>
      </w:tr>
      <w:tr>
        <w:trPr>
          <w:trHeight w:hRule="exact" w:val="324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6,18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4,33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10,51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4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PÚBLICO MUNICIPAL </w:t>
            </w:r>
          </w:p>
        </w:tc>
      </w:tr>
      <w:tr>
        <w:trPr>
          <w:trHeight w:hRule="exact" w:val="654"/>
        </w:trPr>
        <w:tc>
          <w:tcPr>
            <w:tcW w:type="dxa" w:w="25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0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8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1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8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19,61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13,73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33,34 </w:t>
            </w:r>
          </w:p>
        </w:tc>
      </w:tr>
      <w:tr>
        <w:trPr>
          <w:trHeight w:hRule="exact" w:val="340"/>
        </w:trPr>
        <w:tc>
          <w:tcPr>
            <w:tcW w:type="dxa" w:w="25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0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2,04 </w:t>
            </w:r>
          </w:p>
        </w:tc>
        <w:tc>
          <w:tcPr>
            <w:tcW w:type="dxa" w:w="21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1,42 </w:t>
            </w:r>
          </w:p>
        </w:tc>
        <w:tc>
          <w:tcPr>
            <w:tcW w:type="dxa" w:w="168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3,46 </w:t>
            </w:r>
          </w:p>
        </w:tc>
      </w:tr>
      <w:tr>
        <w:trPr>
          <w:trHeight w:hRule="exact" w:val="34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2,14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1,50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</w:tr>
      <w:tr>
        <w:trPr>
          <w:trHeight w:hRule="exact" w:val="34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4,18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2,92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7,10 </w:t>
            </w:r>
          </w:p>
        </w:tc>
      </w:tr>
      <w:tr>
        <w:trPr>
          <w:trHeight w:hRule="exact" w:val="326"/>
        </w:trPr>
        <w:tc>
          <w:tcPr>
            <w:tcW w:type="dxa" w:w="254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08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8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6,18 </w:t>
            </w:r>
          </w:p>
        </w:tc>
        <w:tc>
          <w:tcPr>
            <w:tcW w:type="dxa" w:w="21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4,33 </w:t>
            </w:r>
          </w:p>
        </w:tc>
        <w:tc>
          <w:tcPr>
            <w:tcW w:type="dxa" w:w="168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10,51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52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498 – 02/06/2023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82" w:right="111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19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08" w:val="left"/>
          <w:tab w:pos="1056" w:val="left"/>
          <w:tab w:pos="1068" w:val="left"/>
          <w:tab w:pos="1854" w:val="left"/>
          <w:tab w:pos="2224" w:val="left"/>
        </w:tabs>
        <w:autoSpaceDE w:val="0"/>
        <w:widowControl/>
        <w:spacing w:line="331" w:lineRule="auto" w:before="446" w:after="0"/>
        <w:ind w:left="360" w:right="0" w:firstLine="0"/>
        <w:jc w:val="left"/>
      </w:pP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PADRÃO)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reais, como nos exemplos abaixo, com consumos de até 10 m³ e de 15 m³: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Categoria Residencial (consumo até 10m³)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R$ 19,61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R$ 19,61) + (2ª faixa = 5 m³ x R$ 2,04 = R$ 10,20)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R$ 19,61 + R$ 10,20 = R$ 29,81 </w:t>
      </w:r>
    </w:p>
    <w:p>
      <w:pPr>
        <w:autoSpaceDN w:val="0"/>
        <w:tabs>
          <w:tab w:pos="708" w:val="left"/>
          <w:tab w:pos="1056" w:val="left"/>
          <w:tab w:pos="1068" w:val="left"/>
        </w:tabs>
        <w:autoSpaceDE w:val="0"/>
        <w:widowControl/>
        <w:spacing w:line="324" w:lineRule="auto" w:before="638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são cobradas em forma de cascata, ou seja, cada faixa com valores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reais, como nos exemplos abaixo, com consumos de até 10 m³ e de 15 m³: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Categoria Residencial (consumo até 10m³)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de 0 a 10 m³ = R$ 13,73)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R$ 13,73) + (2ª faixa = 5 m³ x R$ 1,42 = R$ 7,10)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R$ 13,73 + R$ 7,10 = R$ 20,83 </w:t>
      </w:r>
    </w:p>
    <w:p>
      <w:pPr>
        <w:autoSpaceDN w:val="0"/>
        <w:tabs>
          <w:tab w:pos="708" w:val="left"/>
          <w:tab w:pos="720" w:val="left"/>
          <w:tab w:pos="1068" w:val="left"/>
          <w:tab w:pos="1080" w:val="left"/>
        </w:tabs>
        <w:autoSpaceDE w:val="0"/>
        <w:widowControl/>
        <w:spacing w:line="324" w:lineRule="auto" w:before="638" w:after="0"/>
        <w:ind w:left="360" w:right="37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Total = Tarifa de Água +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Somatória da Tarifa de Água com a Tarifa de Esgoto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Tarifa Total (consumo até 10m³)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Tarifa de Água + Tarifa de Esgoto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R$ 19,61 + R$ 13,73 = R$ 33,34 </w:t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Tarifa Total (consumo de 15 m³)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Tarifa de Água + Tarifa de Esgoto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R$ 29,81 + R$ 20,83 = R$ 50,64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22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498 – 02/06/2023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82" w:right="1060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1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38" w:val="left"/>
          <w:tab w:pos="4228" w:val="left"/>
        </w:tabs>
        <w:autoSpaceDE w:val="0"/>
        <w:widowControl/>
        <w:spacing w:line="374" w:lineRule="auto" w:before="454" w:after="308"/>
        <w:ind w:left="0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8"/>
        </w:rPr>
        <w:t>RESOLUÇÃO ARES-PCJ Nº 498, DE 02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92"/>
        <w:gridCol w:w="4692"/>
      </w:tblGrid>
      <w:tr>
        <w:trPr>
          <w:trHeight w:hRule="exact" w:val="964"/>
        </w:trPr>
        <w:tc>
          <w:tcPr>
            <w:tcW w:type="dxa" w:w="7362"/>
            <w:tcBorders/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 SERVIÇO </w:t>
            </w:r>
          </w:p>
        </w:tc>
        <w:tc>
          <w:tcPr>
            <w:tcW w:type="dxa" w:w="1984"/>
            <w:tcBorders/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3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PREÇO PÚBLICO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 / SERVIÇO)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2"/>
        <w:gridCol w:w="4692"/>
      </w:tblGrid>
      <w:tr>
        <w:trPr>
          <w:trHeight w:hRule="exact" w:val="406"/>
        </w:trPr>
        <w:tc>
          <w:tcPr>
            <w:tcW w:type="dxa" w:w="737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do fornecimento de água </w:t>
            </w:r>
          </w:p>
        </w:tc>
        <w:tc>
          <w:tcPr>
            <w:tcW w:type="dxa" w:w="198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27,82 </w:t>
            </w:r>
          </w:p>
        </w:tc>
      </w:tr>
      <w:tr>
        <w:trPr>
          <w:trHeight w:hRule="exact" w:val="408"/>
        </w:trPr>
        <w:tc>
          <w:tcPr>
            <w:tcW w:type="dxa" w:w="737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do fornecimento de água com serviço de demolição de calçada </w:t>
            </w:r>
          </w:p>
        </w:tc>
        <w:tc>
          <w:tcPr>
            <w:tcW w:type="dxa" w:w="198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278,18 </w:t>
            </w:r>
          </w:p>
        </w:tc>
      </w:tr>
      <w:tr>
        <w:trPr>
          <w:trHeight w:hRule="exact" w:val="406"/>
        </w:trPr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no cavalete sem o fornecimento de peças </w:t>
            </w:r>
          </w:p>
        </w:tc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27,82 </w:t>
            </w:r>
          </w:p>
        </w:tc>
      </w:tr>
      <w:tr>
        <w:trPr>
          <w:trHeight w:hRule="exact" w:val="406"/>
        </w:trPr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sem o fornecimento do equipamento </w:t>
            </w:r>
          </w:p>
        </w:tc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83,45 </w:t>
            </w:r>
          </w:p>
        </w:tc>
      </w:tr>
      <w:tr>
        <w:trPr>
          <w:trHeight w:hRule="exact" w:val="406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e lacração de hidrômetro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27,82 </w:t>
            </w:r>
          </w:p>
        </w:tc>
      </w:tr>
      <w:tr>
        <w:trPr>
          <w:trHeight w:hRule="exact" w:val="41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normal de água cortada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27,82 </w:t>
            </w:r>
          </w:p>
        </w:tc>
      </w:tr>
      <w:tr>
        <w:trPr>
          <w:trHeight w:hRule="exact" w:val="40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com serviço de reparação de calçada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278,18 </w:t>
            </w:r>
          </w:p>
        </w:tc>
      </w:tr>
      <w:tr>
        <w:trPr>
          <w:trHeight w:hRule="exact" w:val="406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com o fornecimento do equipamento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27,82 </w:t>
            </w:r>
          </w:p>
        </w:tc>
      </w:tr>
      <w:tr>
        <w:trPr>
          <w:trHeight w:hRule="exact" w:val="406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de vazamento interno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27,82 </w:t>
            </w:r>
          </w:p>
        </w:tc>
      </w:tr>
      <w:tr>
        <w:trPr>
          <w:trHeight w:hRule="exact" w:val="40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nova de água com corte de reparação de pavimento e calçada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556,35 </w:t>
            </w:r>
          </w:p>
        </w:tc>
      </w:tr>
      <w:tr>
        <w:trPr>
          <w:trHeight w:hRule="exact" w:val="406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nova de esgoto com corte de reparação de pavimento e calçada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695,44 </w:t>
            </w:r>
          </w:p>
        </w:tc>
      </w:tr>
      <w:tr>
        <w:trPr>
          <w:trHeight w:hRule="exact" w:val="41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nova de água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278,18 </w:t>
            </w:r>
          </w:p>
        </w:tc>
      </w:tr>
      <w:tr>
        <w:trPr>
          <w:trHeight w:hRule="exact" w:val="406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nova de esgoto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417,26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58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498 – 02/06/2023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sectPr w:rsidR="00FC693F" w:rsidRPr="0006063C" w:rsidSect="00034616">
      <w:pgSz w:w="11906" w:h="16838"/>
      <w:pgMar w:top="282" w:right="1104" w:bottom="492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