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500, DE 29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</w:p>
    <w:p>
      <w:pPr>
        <w:autoSpaceDN w:val="0"/>
        <w:autoSpaceDE w:val="0"/>
        <w:widowControl/>
        <w:spacing w:line="245" w:lineRule="auto" w:before="346" w:after="0"/>
        <w:ind w:left="3972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Água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Esgoto e dos Preços Públicos dos Demais Serviços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Cordeirópolis – SP,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e na Lei Municipal nº 2.677/2010,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ratificou o Protocolo de Intenções da Agência Reguladora 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fiscalização da qualidade da prestação dos serviços de saneamento básico à ARES-PCJ;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– Serviços Autônomo de Água e Esgoto de Cordeirópolis, responsável pelos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tratada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 prestados;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28/2023-CRBG,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pedido de reajuste tarifário,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Cordeirópolis,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Municipal nº 3943/2013 e com seus membros nomeados pela Portaria nº 12.389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26/05/2023, reunido no dia 28 de junho de 2023,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28/2023-CRBG, inclusive os índices propostos para o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praticados pelo SAAE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Cordeirópolis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Cordeirópolis, a Diretoria Executiva da ARES-PCJ, reunida no dia 29 de junho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0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500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9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SAAE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Cordeirópolis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15,16% (quinze inteiros e dezesseis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</w:t>
      </w:r>
      <w:r>
        <w:rPr>
          <w:rFonts w:ascii="Calibri" w:hAnsi="Calibri" w:eastAsia="Calibri"/>
          <w:b w:val="0"/>
          <w:i w:val="0"/>
          <w:color w:val="000000"/>
          <w:sz w:val="23"/>
        </w:rPr>
        <w:t xml:space="preserve">SAAE Cordeirópolis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agosto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pelo SAAE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 em 4,65% (quatro inteiros e sessenta e cinco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agosto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 – Serviço Autônomo de Água e Esgoto de Cordeirópolis,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Cordeirópolis, após 30 (trinta) dias da publicação desta Resolução na imprensa oficial,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Cordeirópolis, conforme determina o art. 39, da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 Cordeirópolis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9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500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454" w:after="4"/>
        <w:ind w:left="1296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500, DE 29 DE JUNHO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20"/>
        </w:trPr>
        <w:tc>
          <w:tcPr>
            <w:tcW w:type="dxa" w:w="255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8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12,80 </w:t>
            </w:r>
          </w:p>
        </w:tc>
        <w:tc>
          <w:tcPr>
            <w:tcW w:type="dxa" w:w="169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11,52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24,32 </w:t>
            </w:r>
          </w:p>
        </w:tc>
      </w:tr>
      <w:tr>
        <w:trPr>
          <w:trHeight w:hRule="exact" w:val="31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</w:tr>
      <w:tr>
        <w:trPr>
          <w:trHeight w:hRule="exact" w:val="306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1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15,96 </w:t>
            </w:r>
          </w:p>
        </w:tc>
      </w:tr>
    </w:tbl>
    <w:p>
      <w:pPr>
        <w:autoSpaceDN w:val="0"/>
        <w:autoSpaceDE w:val="0"/>
        <w:widowControl/>
        <w:spacing w:line="2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8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20"/>
        </w:trPr>
        <w:tc>
          <w:tcPr>
            <w:tcW w:type="dxa" w:w="2550"/>
            <w:vMerge w:val="restart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48"/>
            <w:vMerge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25,62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23,05 </w:t>
            </w:r>
          </w:p>
        </w:tc>
        <w:tc>
          <w:tcPr>
            <w:tcW w:type="dxa" w:w="1700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48,67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3,28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6,93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15,96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4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20"/>
        </w:trPr>
        <w:tc>
          <w:tcPr>
            <w:tcW w:type="dxa" w:w="2550"/>
            <w:vMerge w:val="restart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10"/>
        </w:trPr>
        <w:tc>
          <w:tcPr>
            <w:tcW w:type="dxa" w:w="1848"/>
            <w:vMerge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9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32,73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62,19 </w:t>
            </w:r>
          </w:p>
        </w:tc>
      </w:tr>
      <w:tr>
        <w:trPr>
          <w:trHeight w:hRule="exact" w:val="31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04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15,96 </w:t>
            </w:r>
          </w:p>
        </w:tc>
      </w:tr>
      <w:tr>
        <w:trPr>
          <w:trHeight w:hRule="exact" w:val="31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20,91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16"/>
        </w:trPr>
        <w:tc>
          <w:tcPr>
            <w:tcW w:type="dxa" w:w="9072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18"/>
        </w:trPr>
        <w:tc>
          <w:tcPr>
            <w:tcW w:type="dxa" w:w="2550"/>
            <w:vMerge w:val="restart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2"/>
            <w:gridSpan w:val="3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8"/>
        </w:trPr>
        <w:tc>
          <w:tcPr>
            <w:tcW w:type="dxa" w:w="1848"/>
            <w:vMerge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8"/>
            <w:vMerge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6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10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32,73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62,19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4,73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5,61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</w:tr>
      <w:tr>
        <w:trPr>
          <w:trHeight w:hRule="exact" w:val="308"/>
        </w:trPr>
        <w:tc>
          <w:tcPr>
            <w:tcW w:type="dxa" w:w="255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7,56 </w:t>
            </w:r>
          </w:p>
        </w:tc>
        <w:tc>
          <w:tcPr>
            <w:tcW w:type="dxa" w:w="1700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15,96 </w:t>
            </w:r>
          </w:p>
        </w:tc>
      </w:tr>
      <w:tr>
        <w:trPr>
          <w:trHeight w:hRule="exact" w:val="306"/>
        </w:trPr>
        <w:tc>
          <w:tcPr>
            <w:tcW w:type="dxa" w:w="255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11,01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9,90 </w:t>
            </w:r>
          </w:p>
        </w:tc>
        <w:tc>
          <w:tcPr>
            <w:tcW w:type="dxa" w:w="1700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20,91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70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500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248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396"/>
        <w:ind w:left="0" w:right="307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1863"/>
        <w:gridCol w:w="1863"/>
        <w:gridCol w:w="1863"/>
        <w:gridCol w:w="1863"/>
        <w:gridCol w:w="1863"/>
      </w:tblGrid>
      <w:tr>
        <w:trPr>
          <w:trHeight w:hRule="exact" w:val="318"/>
        </w:trPr>
        <w:tc>
          <w:tcPr>
            <w:tcW w:type="dxa" w:w="9074"/>
            <w:gridSpan w:val="5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20"/>
        </w:trPr>
        <w:tc>
          <w:tcPr>
            <w:tcW w:type="dxa" w:w="2552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63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</w:tcPr>
          <w:p/>
        </w:tc>
        <w:tc>
          <w:tcPr>
            <w:tcW w:type="dxa" w:w="1863"/>
            <w:vMerge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</w:tcPr>
          <w:p/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3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1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39,46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35,51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74,97 </w:t>
            </w:r>
          </w:p>
        </w:tc>
      </w:tr>
      <w:tr>
        <w:trPr>
          <w:trHeight w:hRule="exact" w:val="31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11,12 </w:t>
            </w:r>
          </w:p>
        </w:tc>
      </w:tr>
      <w:tr>
        <w:trPr>
          <w:trHeight w:hRule="exact" w:val="308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14,91 </w:t>
            </w:r>
          </w:p>
        </w:tc>
      </w:tr>
      <w:tr>
        <w:trPr>
          <w:trHeight w:hRule="exact" w:val="308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9,46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19,97 </w:t>
            </w:r>
          </w:p>
        </w:tc>
      </w:tr>
      <w:tr>
        <w:trPr>
          <w:trHeight w:hRule="exact" w:val="31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26,05 </w:t>
            </w:r>
          </w:p>
        </w:tc>
      </w:tr>
    </w:tbl>
    <w:p>
      <w:pPr>
        <w:autoSpaceDN w:val="0"/>
        <w:autoSpaceDE w:val="0"/>
        <w:widowControl/>
        <w:spacing w:line="197" w:lineRule="auto" w:before="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Nota.: Os valores das Tarifas de Esgoto correspondem a 90% dos valores das Tarifas de Água.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117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500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174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1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46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PADRÃO)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1)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m³: </w:t>
      </w:r>
    </w:p>
    <w:p>
      <w:pPr>
        <w:autoSpaceDN w:val="0"/>
        <w:tabs>
          <w:tab w:pos="1416" w:val="left"/>
        </w:tabs>
        <w:autoSpaceDE w:val="0"/>
        <w:widowControl/>
        <w:spacing w:line="245" w:lineRule="auto" w:before="390" w:after="0"/>
        <w:ind w:left="0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Categoria Residencial (Consumo até 10 m³)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R$ 25,62 </w:t>
      </w:r>
    </w:p>
    <w:p>
      <w:pPr>
        <w:autoSpaceDN w:val="0"/>
        <w:autoSpaceDE w:val="0"/>
        <w:widowControl/>
        <w:spacing w:line="252" w:lineRule="auto" w:before="346" w:after="0"/>
        <w:ind w:left="0" w:right="0" w:firstLine="141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R$ 25,62) + (10 m³ x R$ 3,65 = R$ 36,50) + (5 m³ x R$ 4,73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23,65)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R$ 25,62 + R$ 36,50 + R$ 23,65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de Água = R$ 85,77</w:t>
      </w:r>
    </w:p>
    <w:p>
      <w:pPr>
        <w:autoSpaceDN w:val="0"/>
        <w:autoSpaceDE w:val="0"/>
        <w:widowControl/>
        <w:spacing w:line="245" w:lineRule="auto" w:before="392" w:after="0"/>
        <w:ind w:left="0" w:right="0" w:firstLine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Tarifa de Esgoto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90%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</w:t>
      </w:r>
    </w:p>
    <w:p>
      <w:pPr>
        <w:autoSpaceDN w:val="0"/>
        <w:autoSpaceDE w:val="0"/>
        <w:widowControl/>
        <w:spacing w:line="197" w:lineRule="auto" w:before="39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Categoria Residencial (Consumo até 10 m³)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Mínima </w:t>
      </w:r>
      <w:r>
        <w:rPr>
          <w:rFonts w:ascii="Calibri" w:hAnsi="Calibri" w:eastAsia="Calibri"/>
          <w:b w:val="0"/>
          <w:i w:val="0"/>
          <w:color w:val="000000"/>
          <w:sz w:val="24"/>
        </w:rPr>
        <w:t>= R$ 23,05</w:t>
      </w:r>
    </w:p>
    <w:p>
      <w:pPr>
        <w:autoSpaceDN w:val="0"/>
        <w:autoSpaceDE w:val="0"/>
        <w:widowControl/>
        <w:spacing w:line="252" w:lineRule="auto" w:before="346" w:after="0"/>
        <w:ind w:left="0" w:right="0" w:firstLine="141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(Tarifa Mínima = R$ 23,05) + (10 m³ x R$ 3,28 = R$ 32,80) + (5 m³ x 4,25 =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21,25)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R$ 23,05 + R$ 32,80 + R$ 21,25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R$ 77,10 </w:t>
      </w:r>
    </w:p>
    <w:p>
      <w:pPr>
        <w:autoSpaceDN w:val="0"/>
        <w:autoSpaceDE w:val="0"/>
        <w:widowControl/>
        <w:spacing w:line="245" w:lineRule="auto" w:before="392" w:after="0"/>
        <w:ind w:left="0" w:right="0" w:firstLine="568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3) Tarifa Total (Água + Esgoto)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7" w:lineRule="auto" w:before="388" w:after="0"/>
        <w:ind w:left="0" w:right="1440" w:firstLine="141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a) Categoria Residencial (Consumo até 10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(Tarifa de Água = R$ 25,62) + (Tarifa de Esgoto = R$ 23,05)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Mínima = R$ 25,62 + R$ 23,05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Mínima = R$ 48,67 </w:t>
      </w:r>
    </w:p>
    <w:p>
      <w:pPr>
        <w:autoSpaceDN w:val="0"/>
        <w:autoSpaceDE w:val="0"/>
        <w:widowControl/>
        <w:spacing w:line="245" w:lineRule="auto" w:before="344" w:after="0"/>
        <w:ind w:left="0" w:right="2304" w:firstLine="1416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b) Categoria Residencial (Consumo de 25 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R$ 85,77) + (Tarifa de Esgoto = R$ 77,10)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R$ 85,77 + R$ 77,10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R$ 162,87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1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500 – 29/06/2023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4" w:right="1066" w:bottom="49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2700020</wp:posOffset>
            </wp:positionH>
            <wp:positionV relativeFrom="page">
              <wp:posOffset>359410</wp:posOffset>
            </wp:positionV>
            <wp:extent cx="2160270" cy="46863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686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38" w:val="left"/>
          <w:tab w:pos="4228" w:val="left"/>
        </w:tabs>
        <w:autoSpaceDE w:val="0"/>
        <w:widowControl/>
        <w:spacing w:line="374" w:lineRule="auto" w:before="454" w:after="300"/>
        <w:ind w:left="0" w:right="1152" w:firstLine="0"/>
        <w:jc w:val="left"/>
      </w:pPr>
      <w:r>
        <w:tab/>
      </w:r>
      <w:r>
        <w:rPr>
          <w:rFonts w:ascii="Calibri" w:hAnsi="Calibri" w:eastAsia="Calibri"/>
          <w:b/>
          <w:i w:val="0"/>
          <w:color w:val="000000"/>
          <w:sz w:val="28"/>
        </w:rPr>
        <w:t>RESOLUÇÃO ARES-PCJ Nº 500, DE 29 DE JUNHO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2023 </w:t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620"/>
        <w:gridCol w:w="4620"/>
      </w:tblGrid>
      <w:tr>
        <w:trPr>
          <w:trHeight w:hRule="exact" w:val="610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imóveis não providos de pavimentação asfáltica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133,50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em imóveis providos de pavimentação asfáltica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533,99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66,76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106,81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Desentupimento de esgoto (ramal predial e pluvial)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66,76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Consumo de água temporário para 7 (sete) dias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112,14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residencial caminhão até 12m³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40,05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Despejo de esgoto residencial caminhão acima de 12m³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66,76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até 8m³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40,05 </w:t>
            </w:r>
          </w:p>
        </w:tc>
      </w:tr>
      <w:tr>
        <w:trPr>
          <w:trHeight w:hRule="exact" w:val="30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de 9 a 15m³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80,10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residenciais de 16 a 30m³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160,19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até 8m³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80,10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de 9 a 15m³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160,19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tratada em caminhão pipa para fins comerciais de 16 a 30m³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320,39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imóveis não providos de pavimentação asfáltica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133,50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em imóveis providos de pavimentação asfáltica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533,99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0,33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Elevação de cavalete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106,81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cavalete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106,81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no cavalete </w:t>
            </w:r>
          </w:p>
        </w:tc>
        <w:tc>
          <w:tcPr>
            <w:tcW w:type="dxa" w:w="113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66,76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calçada/pé direito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133,50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fornecimento na rede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533,99 </w:t>
            </w:r>
          </w:p>
        </w:tc>
      </w:tr>
      <w:tr>
        <w:trPr>
          <w:trHeight w:hRule="exact" w:val="308"/>
        </w:trPr>
        <w:tc>
          <w:tcPr>
            <w:tcW w:type="dxa" w:w="793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cavalete </w:t>
            </w:r>
          </w:p>
        </w:tc>
        <w:tc>
          <w:tcPr>
            <w:tcW w:type="dxa" w:w="113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66,76 </w:t>
            </w:r>
          </w:p>
        </w:tc>
      </w:tr>
      <w:tr>
        <w:trPr>
          <w:trHeight w:hRule="exact" w:val="31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calçada/pé direito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133,50 </w:t>
            </w:r>
          </w:p>
        </w:tc>
      </w:tr>
      <w:tr>
        <w:trPr>
          <w:trHeight w:hRule="exact" w:val="30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na rede </w:t>
            </w:r>
          </w:p>
        </w:tc>
        <w:tc>
          <w:tcPr>
            <w:tcW w:type="dxa" w:w="113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533,99 </w:t>
            </w:r>
          </w:p>
        </w:tc>
      </w:tr>
    </w:tbl>
    <w:p>
      <w:pPr>
        <w:autoSpaceDN w:val="0"/>
        <w:autoSpaceDE w:val="0"/>
        <w:widowControl/>
        <w:spacing w:line="245" w:lineRule="auto" w:before="54" w:after="3184"/>
        <w:ind w:left="76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O valor do material empregado pelo SAAE será calculado após a execução do serviço </w:t>
      </w:r>
      <w:r>
        <w:rPr>
          <w:rFonts w:ascii="Calibri" w:hAnsi="Calibri" w:eastAsia="Calibri"/>
          <w:b/>
          <w:i w:val="0"/>
          <w:color w:val="000000"/>
          <w:sz w:val="24"/>
        </w:rPr>
        <w:t>e lançado na fatura do usuário.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0"/>
        <w:gridCol w:w="4620"/>
      </w:tblGrid>
      <w:tr>
        <w:trPr>
          <w:trHeight w:hRule="exact" w:val="238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500 – 29/06/2023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auto" w:before="60" w:after="0"/>
              <w:ind w:left="0" w:right="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282" w:right="1248" w:bottom="492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