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-95250</wp:posOffset>
            </wp:positionH>
            <wp:positionV relativeFrom="page">
              <wp:posOffset>9820910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6" w:after="0"/>
        <w:ind w:left="13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507, DE 01 DE AGOSTO DE 2023 </w:t>
      </w:r>
    </w:p>
    <w:p>
      <w:pPr>
        <w:autoSpaceDN w:val="0"/>
        <w:autoSpaceDE w:val="0"/>
        <w:widowControl/>
        <w:spacing w:line="245" w:lineRule="auto" w:before="346" w:after="0"/>
        <w:ind w:left="4254" w:right="1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Altera a redação do art. 92, do caput do art. 93 e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seus incisos I, II e III, cria as alíneas a e b bem como,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os §1º e §2º, revoga o parágrafo único do art. 93 na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419, de 14/03/2022, que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dispõe sobre a aprovação do Regulamento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Prestação dos Serviços Públicos de Abastecimento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Água e de Esgotamento Sanitário e Atendimento aos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Usuários do Município de Mogi Guaçu, e dá outras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4" w:after="0"/>
        <w:ind w:left="0" w:right="1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ARES-PCJ),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 uso de suas atribuições e na forma da Cláusula 32ª, inciso III, do Protocolo de Intenções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ARES-PCJ convertido em Cont</w:t>
      </w:r>
      <w:r>
        <w:rPr>
          <w:rFonts w:ascii="Calibri" w:hAnsi="Calibri" w:eastAsia="Calibri"/>
          <w:b w:val="0"/>
          <w:i w:val="0"/>
          <w:color w:val="000000"/>
          <w:sz w:val="24"/>
        </w:rPr>
        <w:t>rato de Consórcio Público, e o Artigo 28, inciso III, do Estatuto Social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da Agência Reguladora PCJ 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1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4.988/2016, pela qual o Município de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Guaçu ratificou o Protocolo de Intenções da ARES-PCJ,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delegou as competências municipais de regulação e fiscalização da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0" w:right="1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disposto no art. 23 da Lei Federal nº 11.445, de 05 de janeiro de 2007, define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ARES-PCJ nº 50, de 28 de fevereiro de 2014, e suas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alterações, em especial nos arts.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45 e 46, delimitam a forma e a obrigação dos prestadores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em editar Regulamento de Prestação de Serviços, visando a divulgação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 normativo aos usuários; </w:t>
      </w:r>
    </w:p>
    <w:p>
      <w:pPr>
        <w:autoSpaceDN w:val="0"/>
        <w:autoSpaceDE w:val="0"/>
        <w:widowControl/>
        <w:spacing w:line="245" w:lineRule="auto" w:before="346" w:after="0"/>
        <w:ind w:left="0" w:right="1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de análise concluiu que tal alteração no Regulamento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Prestador atende ao conteúdo mínimo estabelecido pela Resolução ARES-PCJ nº 50, de 28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fevereiro de 2014, para a eficiente prestação dos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01 de agosto de 2023;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507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2" w:right="914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-95250</wp:posOffset>
            </wp:positionH>
            <wp:positionV relativeFrom="page">
              <wp:posOffset>9820910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Alterar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92 na Resolução ARES-PCJ nº 419, de 14/03/2022,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passa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vigorar com a seguinte redação: </w:t>
      </w:r>
    </w:p>
    <w:p>
      <w:pPr>
        <w:autoSpaceDN w:val="0"/>
        <w:autoSpaceDE w:val="0"/>
        <w:widowControl/>
        <w:spacing w:line="245" w:lineRule="auto" w:before="344" w:after="0"/>
        <w:ind w:left="850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92 - O parcelamento poderá ser requerido pelo USUÁRIO, ou quem se declare ciente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 dívida e responsável por cumprir tal parcelamento, desde que atenda os incisos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Art. 93 a seguir.”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Alterar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93 e seus incisos I, II, III e cria as alíneas “a” e “b” do inciso II, bem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como revogar o parágrafo único e criar os § 1º e § 2º na Resolução ARES-PCJ nº 419,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14/03/2022,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passam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850" w:right="2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93 – Os débitos inscritos ou não em dívida ativa, de qualquer natureza, poderão ser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parcelados, respeitando o disposto nos artigos 96, 97 e 98 deste Regulamento, sendo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que: </w:t>
      </w:r>
    </w:p>
    <w:p>
      <w:pPr>
        <w:autoSpaceDN w:val="0"/>
        <w:autoSpaceDE w:val="0"/>
        <w:widowControl/>
        <w:spacing w:line="245" w:lineRule="auto" w:before="346" w:after="0"/>
        <w:ind w:left="850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I –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 titular do imóvel, locatário, morador ou quem se declare ciente da dívida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responsável por cumprir o primeiro parcelamento, poderá solicitar o parcelamento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débitos, em até 60 (sessenta) meses, quando não houver no cadastro do USUÁRIO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nenhum parcelamento anterior cancelado por falta de pagamento. </w:t>
      </w:r>
    </w:p>
    <w:p>
      <w:pPr>
        <w:autoSpaceDN w:val="0"/>
        <w:autoSpaceDE w:val="0"/>
        <w:widowControl/>
        <w:spacing w:line="245" w:lineRule="auto" w:before="346" w:after="0"/>
        <w:ind w:left="85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II –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Caso o USUÁRIO possua apenas 01 (um) parcelamento cancelado por falta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pagamento, terá a possibilidade de reparcelar os débitos nas seguintes condições: </w:t>
      </w:r>
    </w:p>
    <w:p>
      <w:pPr>
        <w:autoSpaceDN w:val="0"/>
        <w:autoSpaceDE w:val="0"/>
        <w:widowControl/>
        <w:spacing w:line="197" w:lineRule="auto" w:before="348" w:after="0"/>
        <w:ind w:left="85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a.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Quitação de 50% (cinquenta por cento) do débito em parcela única, à vista; </w:t>
      </w:r>
    </w:p>
    <w:p>
      <w:pPr>
        <w:autoSpaceDN w:val="0"/>
        <w:autoSpaceDE w:val="0"/>
        <w:widowControl/>
        <w:spacing w:line="197" w:lineRule="auto" w:before="346" w:after="0"/>
        <w:ind w:left="85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b.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Parcelamento do restante do débito em até 12 (doze) vezes. </w:t>
      </w:r>
    </w:p>
    <w:p>
      <w:pPr>
        <w:autoSpaceDN w:val="0"/>
        <w:autoSpaceDE w:val="0"/>
        <w:widowControl/>
        <w:spacing w:line="245" w:lineRule="auto" w:before="346" w:after="0"/>
        <w:ind w:left="850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1º. Na hipótese de o USUÁRIO possuir 02 (dois) ou mais parcelamentos cancelados por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falta de pagamento, não mais será possível firmar novos parcelamentos até que a dívida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que originou os parcelamentos já cancelados esteja integralmente quitada, sendo que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tal quitação se dará exclusivamente em parcela única. </w:t>
      </w:r>
    </w:p>
    <w:p>
      <w:pPr>
        <w:autoSpaceDN w:val="0"/>
        <w:autoSpaceDE w:val="0"/>
        <w:widowControl/>
        <w:spacing w:line="245" w:lineRule="auto" w:before="346" w:after="0"/>
        <w:ind w:left="850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2º. Os pedidos de parcelamento deverão ser formulados por meio de requerimento,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com o respectivo “Termo de Confissão de Dívida”, sendo que, sua origem e o número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pretendido de parcelas deverão ser subscritos pelo usuário ou quem se declare ciente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dívida e responsável por cumprir o parcelamento, visto que tal pedido deverá ser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autorizado pela Autoridade competente. </w:t>
      </w:r>
    </w:p>
    <w:p>
      <w:pPr>
        <w:autoSpaceDN w:val="0"/>
        <w:autoSpaceDE w:val="0"/>
        <w:widowControl/>
        <w:spacing w:line="245" w:lineRule="auto" w:before="348" w:after="0"/>
        <w:ind w:left="850" w:right="2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III – Caso o USUÁRIO esteja enquadrado como família de baixa renda, devidamente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aprovado pela Assistente Social da Autarquia, poderão ter sua dívida parcelada ou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reparcelada com valor mínimo de 3 (três) vezes o valor da tarifa mínima social,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independentemente do número de parcelas.”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507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-95250</wp:posOffset>
            </wp:positionH>
            <wp:positionV relativeFrom="page">
              <wp:posOffset>9820910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3º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Esta Resolução entrará em vigor na data de sua publicação, revogando-se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22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15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507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sectPr w:rsidR="00FC693F" w:rsidRPr="0006063C" w:rsidSect="00034616">
      <w:pgSz w:w="11906" w:h="16838"/>
      <w:pgMar w:top="282" w:right="1060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