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3330" cy="9675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9675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2379980</wp:posOffset>
            </wp:positionH>
            <wp:positionV relativeFrom="page">
              <wp:posOffset>360680</wp:posOffset>
            </wp:positionV>
            <wp:extent cx="280162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509, DE 04 DE AGOSTO DE 2023 </w:t>
      </w:r>
    </w:p>
    <w:p>
      <w:pPr>
        <w:autoSpaceDN w:val="0"/>
        <w:autoSpaceDE w:val="0"/>
        <w:widowControl/>
        <w:spacing w:line="245" w:lineRule="auto" w:before="934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Inclui o parágrafo único ao art. 113, do ANEXO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A, da Resolução ARES-PCJ nº 453, de </w:t>
      </w:r>
      <w:r>
        <w:rPr>
          <w:rFonts w:ascii="Calibri" w:hAnsi="Calibri" w:eastAsia="Calibri"/>
          <w:b w:val="0"/>
          <w:i/>
          <w:color w:val="000000"/>
          <w:sz w:val="24"/>
        </w:rPr>
        <w:t>17/10/2022, que aprovou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de Abastecimento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Água e Esgotamento Sanitário e Atendimento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aos Usuários do Município de Jundiaí.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 e 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 Ofício DRN nº 004/2023 (Protocolo 1Doc nº 412/2023) encaminhado pela DAE JUNDIAÍ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ARES-PCJ, solicitando a inclusão de dispositivo complementar no art. 113 do Regulamento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 de Serviços (Anexo A da Resolução ARES-PCJ nº 453, de 17/10/2022), para tratar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monitoramento e fiscalização do lançamento de esgoto à rede pública nas ligações industriais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comerciais com efluentes não domésticos, nos termos das normas técnicas do próprio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04 de agosto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18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509 – 04/08/2023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84" w:right="1340" w:bottom="49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3330" cy="9675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3330" cy="9675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2379980</wp:posOffset>
            </wp:positionH>
            <wp:positionV relativeFrom="page">
              <wp:posOffset>360680</wp:posOffset>
            </wp:positionV>
            <wp:extent cx="280162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Incluir o parágrafo único ao art. 113 do ANEXO A, da Resolução ARES-PCJ nº 453,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17/10/2022,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113.................................................................................................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4" w:after="0"/>
        <w:ind w:left="2268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 critério da DAE JUNDIAÍ e às custas do CLIENTE,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poderão ser instalados nas ligações industriais e comerciais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efluentes não domésticos abrigos de amostragem para controle,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monitoramento e fiscalização do lançamento de esgotos na rede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pública, conforme procedimentos previstos em normativa específica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emitida pela DAE JUNDIAÍ.”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74" w:val="left"/>
        </w:tabs>
        <w:autoSpaceDE w:val="0"/>
        <w:widowControl/>
        <w:spacing w:line="197" w:lineRule="auto" w:before="7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509 – 04/08/2023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284" w:right="1340" w:bottom="49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