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512, DE 21 DE AGOSTO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Serrana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– SP, e dá outras providências. </w:t>
      </w:r>
    </w:p>
    <w:p>
      <w:pPr>
        <w:autoSpaceDN w:val="0"/>
        <w:autoSpaceDE w:val="0"/>
        <w:widowControl/>
        <w:spacing w:line="245" w:lineRule="auto" w:before="73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01/2022,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Serrana e a Agência Reguladora PCJ (ARES-PCJ) em 1º de abril de 2022, foram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delegadas as competências municipais de regulação econômica e de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prestação dos serviços públicos de saneamento básico à Agência Reguladora PCJ (ARES-PCJ);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de Água e Esgoto de Serrana (DAES), responsável pelos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tratada e esgotamento sanitário do Município de Serrana,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115, de 17/12/2015, solicitou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por ele prestados;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32/2023-CFO,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Serrana,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138/2023 de 07/08/2023 e com seus membros nomeados pelo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Decreto, reunido no dia 18 de agosto de 2023,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32/2023-CFO, inclusive os índices propostos para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Serrana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Serrana, a Diretoria Executiva da ARES-PCJ, reunida no dia 21 de agosto de 2023,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512 – 21/08/2023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Serrana em 2,43% (dois inteiros e quarenta e três centésimos por cento).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Serrana a partir de </w:t>
      </w:r>
      <w:r>
        <w:rPr>
          <w:rFonts w:ascii="Calibri" w:hAnsi="Calibri" w:eastAsia="Calibri"/>
          <w:b w:val="0"/>
          <w:i w:val="0"/>
          <w:color w:val="000000"/>
          <w:sz w:val="24"/>
          <w:highlight w:val="yellow"/>
        </w:rPr>
        <w:t>outubro de 2023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equiparação do valor da Tarifa de Esgoto, passando de 40% (quarenta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para 70% (setenta por cento) dos valores das novas Tarifas de Água.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praticados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Serrana, conforme apresentado na Tabela 1, do Anexo I desta Resolução.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Serrana, em 3,16% (três inteiros e dezesseis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Serrana, a partir de </w:t>
      </w:r>
      <w:r>
        <w:rPr>
          <w:rFonts w:ascii="Calibri" w:hAnsi="Calibri" w:eastAsia="Calibri"/>
          <w:b w:val="0"/>
          <w:i w:val="0"/>
          <w:color w:val="000000"/>
          <w:sz w:val="24"/>
          <w:highlight w:val="yellow"/>
        </w:rPr>
        <w:t>outubro de 2023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Serrana, conforme apresentado na Tabela 1,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Criar a Categoria Residencial Social com desconto de 50% no consumo até 10 m³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25% para o consumo entre 11 e 20 m³, conforme disposto no Anexo I desta Resolução.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Para fins de divulgação, o Departamento de Água e Esgoto de Serrana,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2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Serrana, após 30 (trinta) dias da publicação desta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íntegra, na imprensa oficial ou em jornal de circulação no Município de Serrana,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Departamento de Água e Esgoto de Serrana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caput deste artigo. </w:t>
      </w:r>
    </w:p>
    <w:p>
      <w:pPr>
        <w:autoSpaceDN w:val="0"/>
        <w:autoSpaceDE w:val="0"/>
        <w:widowControl/>
        <w:spacing w:line="197" w:lineRule="auto" w:before="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11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3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512 – 21/08/2023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2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1534160</wp:posOffset>
            </wp:positionH>
            <wp:positionV relativeFrom="page">
              <wp:posOffset>6676390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5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4086860</wp:posOffset>
            </wp:positionH>
            <wp:positionV relativeFrom="page">
              <wp:posOffset>359410</wp:posOffset>
            </wp:positionV>
            <wp:extent cx="215900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70" w:after="0"/>
        <w:ind w:left="0" w:right="3726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512, DE 21 DE AGOSTO DE 2023 </w:t>
      </w:r>
    </w:p>
    <w:p>
      <w:pPr>
        <w:autoSpaceDN w:val="0"/>
        <w:autoSpaceDE w:val="0"/>
        <w:widowControl/>
        <w:spacing w:line="197" w:lineRule="auto" w:before="296" w:after="0"/>
        <w:ind w:left="0" w:right="665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0"/>
        <w:ind w:left="0" w:right="426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594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1136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RESIDENCIAL, COMERCIAL,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INDUSTRIAL E PÚBLICA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8"/>
        </w:trPr>
        <w:tc>
          <w:tcPr>
            <w:tcW w:type="dxa" w:w="17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745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00"/>
            </w:tblGrid>
            <w:tr>
              <w:trPr>
                <w:trHeight w:hRule="exact" w:val="314"/>
              </w:trPr>
              <w:tc>
                <w:tcPr>
                  <w:tcW w:type="dxa" w:w="1558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32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13,01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31,59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9,29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15,79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35,14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18,46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38,74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21,16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42,41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23,91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46,10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26,68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1,59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49,96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29,57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53,99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32,60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58,16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35,73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62,43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38,93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66,77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42,18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71,22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45,53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76,85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51,16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2,42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82,72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57,03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88,72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63,03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95,01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69,32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2,65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101,44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75,75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108,51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82,82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115,75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90,06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123,32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97,63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131,00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105,31 </w:t>
            </w:r>
          </w:p>
        </w:tc>
      </w:tr>
    </w:tbl>
    <w:p>
      <w:pPr>
        <w:autoSpaceDN w:val="0"/>
        <w:tabs>
          <w:tab w:pos="12174" w:val="left"/>
        </w:tabs>
        <w:autoSpaceDE w:val="0"/>
        <w:widowControl/>
        <w:spacing w:line="197" w:lineRule="auto" w:before="336" w:after="0"/>
        <w:ind w:left="16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512 – 21/08/2023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6838" w:h="11906"/>
          <w:pgMar w:top="28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1534160</wp:posOffset>
            </wp:positionH>
            <wp:positionV relativeFrom="page">
              <wp:posOffset>6676390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16"/>
        <w:ind w:left="0" w:right="55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4086860</wp:posOffset>
            </wp:positionH>
            <wp:positionV relativeFrom="page">
              <wp:posOffset>359410</wp:posOffset>
            </wp:positionV>
            <wp:extent cx="215900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596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1136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RESIDENCIAL, COMERCIAL,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INDUSTRIAL E PÚBLICA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17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745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00"/>
            </w:tblGrid>
            <w:tr>
              <w:trPr>
                <w:trHeight w:hRule="exact" w:val="314"/>
              </w:trPr>
              <w:tc>
                <w:tcPr>
                  <w:tcW w:type="dxa" w:w="1558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32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138,97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113,28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146,96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121,27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155,00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129,31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163,06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137,37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171,14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145,45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179,23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153,54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187,32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161,63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195,43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169,74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203,56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177,87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211,79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186,10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220,26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194,57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228,78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203,09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237,38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211,69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3,56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246,03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3,56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220,34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5,12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3,58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254,73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5,12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229,04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263,57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237,88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272,50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246,81 </w:t>
            </w:r>
          </w:p>
        </w:tc>
      </w:tr>
      <w:tr>
        <w:trPr>
          <w:trHeight w:hRule="exact" w:val="30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281,43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255,74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290,54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264,85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299,84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274,15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309,22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283,53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318,62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292,93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328,04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302,35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337,53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311,84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347,22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321,53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357,03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331,34 </w:t>
            </w:r>
          </w:p>
        </w:tc>
      </w:tr>
    </w:tbl>
    <w:p>
      <w:pPr>
        <w:autoSpaceDN w:val="0"/>
        <w:tabs>
          <w:tab w:pos="12174" w:val="left"/>
        </w:tabs>
        <w:autoSpaceDE w:val="0"/>
        <w:widowControl/>
        <w:spacing w:line="197" w:lineRule="auto" w:before="224" w:after="0"/>
        <w:ind w:left="16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512 – 21/08/2023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6838" w:h="11906"/>
          <w:pgMar w:top="28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1534160</wp:posOffset>
            </wp:positionH>
            <wp:positionV relativeFrom="page">
              <wp:posOffset>6676390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16"/>
        <w:ind w:left="0" w:right="55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4086860</wp:posOffset>
            </wp:positionH>
            <wp:positionV relativeFrom="page">
              <wp:posOffset>359410</wp:posOffset>
            </wp:positionV>
            <wp:extent cx="215900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596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1136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RESIDENCIAL, COMERCIAL,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INDUSTRIAL E PÚBLICA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17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745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00"/>
            </w:tblGrid>
            <w:tr>
              <w:trPr>
                <w:trHeight w:hRule="exact" w:val="314"/>
              </w:trPr>
              <w:tc>
                <w:tcPr>
                  <w:tcW w:type="dxa" w:w="1558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32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366,84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341,15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376,67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350,98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386,73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361,04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396,88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371,19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407,08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381,39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417,35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391,66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427,77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402,08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438,24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412,55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448,78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423,09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459,42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433,73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470,11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444,42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480,84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455,15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491,62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465,93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502,55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476,86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513,55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487,86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524,55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498,86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535,62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509,93 </w:t>
            </w:r>
          </w:p>
        </w:tc>
      </w:tr>
      <w:tr>
        <w:trPr>
          <w:trHeight w:hRule="exact" w:val="30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546,76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521,07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558,05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532,36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569,39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543,70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580,75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555,06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592,26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566,57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603,85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578,16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615,53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589,84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627,33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601,64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639,15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613,46 </w:t>
            </w:r>
          </w:p>
        </w:tc>
      </w:tr>
    </w:tbl>
    <w:p>
      <w:pPr>
        <w:autoSpaceDN w:val="0"/>
        <w:tabs>
          <w:tab w:pos="12174" w:val="left"/>
        </w:tabs>
        <w:autoSpaceDE w:val="0"/>
        <w:widowControl/>
        <w:spacing w:line="197" w:lineRule="auto" w:before="224" w:after="0"/>
        <w:ind w:left="16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512 – 21/08/2023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6838" w:h="11906"/>
          <w:pgMar w:top="28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1534160</wp:posOffset>
            </wp:positionH>
            <wp:positionV relativeFrom="page">
              <wp:posOffset>6676390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16"/>
        <w:ind w:left="0" w:right="55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4086860</wp:posOffset>
            </wp:positionH>
            <wp:positionV relativeFrom="page">
              <wp:posOffset>359410</wp:posOffset>
            </wp:positionV>
            <wp:extent cx="2159000" cy="4686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596"/>
        </w:trPr>
        <w:tc>
          <w:tcPr>
            <w:tcW w:type="dxa" w:w="226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1136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RESIDENCIAL, COMERCIAL,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INDUSTRIAL E PÚBLICA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17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745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00"/>
            </w:tblGrid>
            <w:tr>
              <w:trPr>
                <w:trHeight w:hRule="exact" w:val="314"/>
              </w:trPr>
              <w:tc>
                <w:tcPr>
                  <w:tcW w:type="dxa" w:w="1558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32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6,95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650,97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6,95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625,28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662,94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637,25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674,91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649,22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686,95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661,26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699,07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673,38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711,26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685,57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723,55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697,86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736,03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710,34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748,54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722,85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761,10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735,41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773,70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748,01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7,45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786,37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7,45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760,68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799,09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773,40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811,86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786,17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7,54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824,68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7,54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798,99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837,53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811,84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850,42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824,73 </w:t>
            </w:r>
          </w:p>
        </w:tc>
      </w:tr>
      <w:tr>
        <w:trPr>
          <w:trHeight w:hRule="exact" w:val="30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863,34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837,65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7" w:lineRule="auto" w:before="48" w:after="0"/>
        <w:ind w:left="1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 1: Os valores das atuais Tarifas de Esgoto correspondem a 70% dos valores das Tarifas de Água. </w:t>
      </w:r>
    </w:p>
    <w:p>
      <w:pPr>
        <w:autoSpaceDN w:val="0"/>
        <w:autoSpaceDE w:val="0"/>
        <w:widowControl/>
        <w:spacing w:line="245" w:lineRule="auto" w:before="52" w:after="0"/>
        <w:ind w:left="104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 2: Fica criada a Categoria Residencial Social, com desconto de 50% no consumo até 10 m² e de 25% entre 11 e 20 m². Os critérios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enquadramento e as regras gerais podem ser encontrados na Resolução ARES-PCJ nº 251, de 05 de setembro de 2018. </w:t>
      </w:r>
    </w:p>
    <w:p>
      <w:pPr>
        <w:autoSpaceDN w:val="0"/>
        <w:tabs>
          <w:tab w:pos="12174" w:val="left"/>
        </w:tabs>
        <w:autoSpaceDE w:val="0"/>
        <w:widowControl/>
        <w:spacing w:line="197" w:lineRule="auto" w:before="1472" w:after="0"/>
        <w:ind w:left="16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512 – 21/08/2023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6838" w:h="11906"/>
          <w:pgMar w:top="282" w:right="144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-31750</wp:posOffset>
            </wp:positionH>
            <wp:positionV relativeFrom="page">
              <wp:posOffset>9790430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9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6" w:after="0"/>
        <w:ind w:left="2304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46" w:after="0"/>
        <w:ind w:left="478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1330" w:val="left"/>
        </w:tabs>
        <w:autoSpaceDE w:val="0"/>
        <w:widowControl/>
        <w:spacing w:line="245" w:lineRule="auto" w:before="346" w:after="0"/>
        <w:ind w:left="1046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R$ 18,58 </w:t>
      </w:r>
    </w:p>
    <w:p>
      <w:pPr>
        <w:autoSpaceDN w:val="0"/>
        <w:tabs>
          <w:tab w:pos="1330" w:val="left"/>
        </w:tabs>
        <w:autoSpaceDE w:val="0"/>
        <w:widowControl/>
        <w:spacing w:line="245" w:lineRule="auto" w:before="346" w:after="0"/>
        <w:ind w:left="1046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R$ 59,66 </w:t>
      </w:r>
    </w:p>
    <w:p>
      <w:pPr>
        <w:autoSpaceDN w:val="0"/>
        <w:autoSpaceDE w:val="0"/>
        <w:widowControl/>
        <w:spacing w:line="245" w:lineRule="auto" w:before="346" w:after="0"/>
        <w:ind w:left="478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70%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Exemplos abaixo: </w:t>
      </w:r>
    </w:p>
    <w:p>
      <w:pPr>
        <w:autoSpaceDN w:val="0"/>
        <w:tabs>
          <w:tab w:pos="1330" w:val="left"/>
        </w:tabs>
        <w:autoSpaceDE w:val="0"/>
        <w:widowControl/>
        <w:spacing w:line="245" w:lineRule="auto" w:before="346" w:after="0"/>
        <w:ind w:left="1046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R$ 13,01 </w:t>
      </w:r>
    </w:p>
    <w:p>
      <w:pPr>
        <w:autoSpaceDN w:val="0"/>
        <w:tabs>
          <w:tab w:pos="1330" w:val="left"/>
        </w:tabs>
        <w:autoSpaceDE w:val="0"/>
        <w:widowControl/>
        <w:spacing w:line="245" w:lineRule="auto" w:before="344" w:after="0"/>
        <w:ind w:left="1046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R$ 41,78 </w:t>
      </w:r>
    </w:p>
    <w:p>
      <w:pPr>
        <w:autoSpaceDN w:val="0"/>
        <w:autoSpaceDE w:val="0"/>
        <w:widowControl/>
        <w:spacing w:line="245" w:lineRule="auto" w:before="346" w:after="0"/>
        <w:ind w:left="478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046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R$ 18,58) + (Tarifa de Esgoto = R$ 13,01)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R$ 18,58 + R$ 13,01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R$ 31,59</w:t>
      </w:r>
    </w:p>
    <w:p>
      <w:pPr>
        <w:autoSpaceDN w:val="0"/>
        <w:autoSpaceDE w:val="0"/>
        <w:widowControl/>
        <w:spacing w:line="245" w:lineRule="auto" w:before="346" w:after="0"/>
        <w:ind w:left="1046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R$ 59,66) + (Tarifa de Esgoto = R$ 41,78)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R$ 59,66 + R$ 41,78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R$ 101,44</w:t>
      </w:r>
    </w:p>
    <w:p>
      <w:pPr>
        <w:autoSpaceDN w:val="0"/>
        <w:tabs>
          <w:tab w:pos="10494" w:val="left"/>
        </w:tabs>
        <w:autoSpaceDE w:val="0"/>
        <w:widowControl/>
        <w:spacing w:line="194" w:lineRule="auto" w:before="34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512 – 21/08/2023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306" w:bottom="492" w:left="9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-31750</wp:posOffset>
            </wp:positionH>
            <wp:positionV relativeFrom="page">
              <wp:posOffset>9790430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9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454" w:after="300"/>
        <w:ind w:left="1728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512, DE 21 DE AGOSTO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4.0" w:type="dxa"/>
      </w:tblPr>
      <w:tblGrid>
        <w:gridCol w:w="5330"/>
        <w:gridCol w:w="5330"/>
      </w:tblGrid>
      <w:tr>
        <w:trPr>
          <w:trHeight w:hRule="exact" w:val="302"/>
        </w:trPr>
        <w:tc>
          <w:tcPr>
            <w:tcW w:type="dxa" w:w="70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2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a Pedido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87,13 </w:t>
            </w:r>
          </w:p>
        </w:tc>
      </w:tr>
      <w:tr>
        <w:trPr>
          <w:trHeight w:hRule="exact" w:val="304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Parcial de Água + Mudança de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301,91 </w:t>
            </w:r>
          </w:p>
        </w:tc>
      </w:tr>
      <w:tr>
        <w:trPr>
          <w:trHeight w:hRule="exact" w:val="302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Geofonamento (rede, ramal e residência)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84,29 </w:t>
            </w:r>
          </w:p>
        </w:tc>
      </w:tr>
      <w:tr>
        <w:trPr>
          <w:trHeight w:hRule="exact" w:val="304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37,34 </w:t>
            </w:r>
          </w:p>
        </w:tc>
      </w:tr>
      <w:tr>
        <w:trPr>
          <w:trHeight w:hRule="exact" w:val="304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134,16 </w:t>
            </w:r>
          </w:p>
        </w:tc>
      </w:tr>
      <w:tr>
        <w:trPr>
          <w:trHeight w:hRule="exact" w:val="300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 Fornecimento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392,88 </w:t>
            </w:r>
          </w:p>
        </w:tc>
      </w:tr>
      <w:tr>
        <w:trPr>
          <w:trHeight w:hRule="exact" w:val="306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Fornecimento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203,25 </w:t>
            </w:r>
          </w:p>
        </w:tc>
      </w:tr>
      <w:tr>
        <w:trPr>
          <w:trHeight w:hRule="exact" w:val="304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167,10 </w:t>
            </w:r>
          </w:p>
        </w:tc>
      </w:tr>
      <w:tr>
        <w:trPr>
          <w:trHeight w:hRule="exact" w:val="300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Parcial de Água (usando o mesmo cavalete)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134,16 </w:t>
            </w:r>
          </w:p>
        </w:tc>
      </w:tr>
      <w:tr>
        <w:trPr>
          <w:trHeight w:hRule="exact" w:val="304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167,74 </w:t>
            </w:r>
          </w:p>
        </w:tc>
      </w:tr>
      <w:tr>
        <w:trPr>
          <w:trHeight w:hRule="exact" w:val="302"/>
        </w:trPr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87,15 </w:t>
            </w:r>
          </w:p>
        </w:tc>
      </w:tr>
      <w:tr>
        <w:trPr>
          <w:trHeight w:hRule="exact" w:val="304"/>
        </w:trPr>
        <w:tc>
          <w:tcPr>
            <w:tcW w:type="dxa" w:w="70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Pequeno Porte no Cavalete (com material)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37,34 </w:t>
            </w:r>
          </w:p>
        </w:tc>
      </w:tr>
      <w:tr>
        <w:trPr>
          <w:trHeight w:hRule="exact" w:val="304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de Caminhão Pipa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74,69 </w:t>
            </w:r>
          </w:p>
        </w:tc>
      </w:tr>
      <w:tr>
        <w:trPr>
          <w:trHeight w:hRule="exact" w:val="302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- com registro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79,86 </w:t>
            </w:r>
          </w:p>
        </w:tc>
      </w:tr>
      <w:tr>
        <w:trPr>
          <w:trHeight w:hRule="exact" w:val="304"/>
        </w:trPr>
        <w:tc>
          <w:tcPr>
            <w:tcW w:type="dxa" w:w="70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- sem registro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13,40 </w:t>
            </w:r>
          </w:p>
        </w:tc>
      </w:tr>
      <w:tr>
        <w:trPr>
          <w:trHeight w:hRule="exact" w:val="302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do DAES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191,62 </w:t>
            </w:r>
          </w:p>
        </w:tc>
      </w:tr>
    </w:tbl>
    <w:p>
      <w:pPr>
        <w:autoSpaceDN w:val="0"/>
        <w:tabs>
          <w:tab w:pos="10494" w:val="left"/>
        </w:tabs>
        <w:autoSpaceDE w:val="0"/>
        <w:widowControl/>
        <w:spacing w:line="194" w:lineRule="auto" w:before="69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512 – 21/08/2023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82" w:right="306" w:bottom="492" w:left="9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