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526, DE 07 DE NOVEMBRO DE 2023 </w:t>
      </w:r>
    </w:p>
    <w:p>
      <w:pPr>
        <w:autoSpaceDN w:val="0"/>
        <w:autoSpaceDE w:val="0"/>
        <w:widowControl/>
        <w:spacing w:line="245" w:lineRule="auto" w:before="640" w:after="26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alíquotas, metodologias de cálculos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e formas de cobrança e repasse da Taxa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Regulação e Fiscalização - Exercício de 2024, a ser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cobrada dos prestadores de limpeza urbana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294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manejo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resíduos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sólidos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municípios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425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consorciados e conveniados à ARES-PCJ,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incisos I, II e III, do Protocolo de Intenções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 convertido em Contrato de Consórcio Público, e o Artigo 29, incisos I, II e III,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conformidade com o Inciso XV, da Cláusula 20ª, do Protocolo de Intenções da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compete à Assembleia Geral da ARES-PCJ deliberar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fixação, revisão e reajustes dos valores das taxas e tarifas e outros preços públicos,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aos serviços prestados pela Agência Reguladora PCJ;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68ª, do Protocolo de Intenções da ARES-PCJ, define que a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tem como fato gerador o desempenho das atividades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básico, delegadas pelos municípios associados,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como sujeitos passivos os prestadores desses serviços;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2º da Cláusula 69ª, do Protocolo de Intenções da ARES-PCJ, prevê que a alíquota da Taxa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poderá ser revista, observados critérios técnicos de cálculo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Agência Reguladora PCJ;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4º do Art. 58, do Estatuto Social da ARES-PCJ, define que a alíquota, a metodologia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apuração e forma de repasse do valor referente à Taxa de Regulação e Fiscalização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em Resolução específica da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municípios associados à ARES-PCJ, os serviços de limpeza pública e manejo dos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são prestados de forma direta (prefeitura, autarquia, empresa pública e de economia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mista) ou através de contratos de concessão ou de parceria público-privada (empresas privadas);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526 – 07/11/2023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50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municípios associados à ARES-PCJ,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atuam através de contratos de concessão ou de parceria público-privada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possuem cláusulas específicas que definem a alíquota da Taxa de Regulação e Fiscalização;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durante a 25ª Assembleia Geral Ordinária da ARES-PCJ, realizada no dia 28 de setembro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2023, foi aprovado o início da cobrança da Taxa de Regulação e Fiscalização para 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urbana e manejo de resíduos sólidos, no âmbito dos municípios associados à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Exercício de 2024;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alíquota da Taxa de Regulação e Fiscalização – Exercício 2024 será de 0,25% (vinte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ser cobrada dos municípios associados à ARES-PCJ com prestação direta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(prefeitura, autarquia, empresa pública e de economia mista), tendo como base a Receita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Requerida do Exercício 2023, exceto em municípios que possuam contratos de concessão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parceria público-privada, onde serão aplicadas alíquotas definidas nas cláusulas contratuais;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que, com base na proposta aprovada na 25ª Assembleia Geral Ordinária da ARES-PCJ e, a fim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fixar a alíquota e definir as metodologias de cálculo dos valores e formas de cobrança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repasse da Taxa de Regulação e Fiscalização - Exercício 2024, a Diretoria Executiva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PCJ, reunida em 06 de novembro de 2023,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a alíquota e definir as metodologias de cálculos dos valores e as formas de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repasse da Taxa de Regulação e Fiscalização - Exercício de 2024, referente aos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urbana e manejo de resíduos sólidos, a ser cobrada diretamente dos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associados à ARES-PCJ.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 alíquota da Taxa de Regulação e Fiscalização - Exercício de 2024, referente aos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limpeza urbana e manejo de resíduos sólidos, para municípios com Prestação Direta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(prefeituras, autarquias, empresas públicas e de economia mista), será de 0,25% (vinte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da Receita Requerida referente ao Exercício de 2023.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Em municípios com contratos de concessão ou de parceria público-privada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prestação dos serviços de limpeza urbana e manejo de resíduos sólidos será aplicada a alíquota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Taxa de Regulação e Fiscalização definida nas cláusulas contratuais.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Nos termos da Resolução ANA nº 79, de 14 de junho de 2021, Receita Requerida é aquela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suficiente para ressarcir o prestador de serviço das despesas administrativas e dos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eficientes de operação e manutenção, de investimentos prudentes e necessários bem como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remunerar de forma adequada o capital investido, quando couber.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Para apuração da Receita Requerida dever-se-á considerar os custos e despesas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limpeza pública e manejo de resíduos sólidos nos termos do Art. 3º, inciso I, alínea c,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5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526 – 07/11/2023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52" w:right="1058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11.445/2007, constituídos pelas atividades e pela disponibilização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de infraestruturas e instalações operacionais de coleta, varrição manual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mecanizada, asseio e conservação urbana, transporte, transbordo, tratamento e destinação final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ambientalmente adequada dos resíduos sólidos domiciliares e dos resíduos de limpeza urbana.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custos e despesas dos serviços de limpeza pública e manejo de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correspondem aos valores totais liquidados com essas atividades no exercício anterior, incluindo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Restos a Pagar não processados liquidados.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 metodologia de cálculo do valor da Taxa de Regulação e Fiscalização dar-se-á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da natureza da prestação dos serviços de limpeza urbana e manejo de resíduos sólidos,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dividida em: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Prestação Direta (Prefeitura, Autarquia, Empresa Pública e de Economia Mista);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II - Contrato de Concessão ou de Parceria Público-Privada.</w:t>
      </w:r>
    </w:p>
    <w:p>
      <w:pPr>
        <w:autoSpaceDN w:val="0"/>
        <w:autoSpaceDE w:val="0"/>
        <w:widowControl/>
        <w:spacing w:line="245" w:lineRule="auto" w:before="346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Prestação Direta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(Prefeitura, Autarquia, Empresa Pública e de Economia Mista) </w:t>
      </w:r>
    </w:p>
    <w:p>
      <w:pPr>
        <w:autoSpaceDN w:val="0"/>
        <w:autoSpaceDE w:val="0"/>
        <w:widowControl/>
        <w:spacing w:line="245" w:lineRule="auto" w:before="348" w:after="30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município, cujos serviços de limpeza urbana e manejo de resíduos sólidos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executados através de Prestação Direta, o cálculo da Taxa de Regulação e Fiscalização - 2024 terá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base o total da Receita Requerida do Exercício Anterior (2023), à qual será aplicada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de 0,25% (vinte e cinco centésimos por cento), e será calculada pela seguinte expressão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matemática: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432"/>
      </w:tblGrid>
      <w:tr>
        <w:trPr>
          <w:trHeight w:hRule="exact" w:val="462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TR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RSU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= RR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2023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x Alíquota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0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TR</w:t>
      </w:r>
      <w:r>
        <w:rPr>
          <w:rFonts w:ascii="Calibri" w:hAnsi="Calibri" w:eastAsia="Calibri"/>
          <w:b w:val="0"/>
          <w:i w:val="0"/>
          <w:color w:val="000000"/>
          <w:sz w:val="16"/>
        </w:rPr>
        <w:t>RSU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Taxa de Regulação de Resíduos Sólidos Urbanos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>RR</w:t>
      </w:r>
      <w:r>
        <w:rPr>
          <w:rFonts w:ascii="Calibri" w:hAnsi="Calibri" w:eastAsia="Calibri"/>
          <w:b w:val="0"/>
          <w:i w:val="0"/>
          <w:color w:val="000000"/>
          <w:sz w:val="16"/>
        </w:rPr>
        <w:t>2023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Receita Requerida do Exercício Anterior (2023)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= 0,25%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→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igual a 0,0025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repasses referentes à Taxa de Regulação e Fiscalização - Exercício 2024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efetuados através de depósitos bancários realizados pelos prestadores dos serviços de limpeza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urbana e manejo de resíduos sólidos em favor da ARES-PCJ, ou através de boletos bancários,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 da Diretoria Executiva.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 valor total apurado da Taxa de Regulação e Fiscalização – 2024 a ser pago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à ARES-PCJ será dividido em 10 (dez) parcelas mensais iguais e sequenciais, repassadas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 dia 15 (quinze) de cada mês, com o vencimento da primeira parcela no mês de março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2024.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526 – 07/11/2023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50" w:right="105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Caso as datas dos vencimentos coincidam com sábado, domingo ou feriado,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 vencimento ficará prorrogado automaticamente para o primeiro dia útil subsequente. </w:t>
      </w:r>
    </w:p>
    <w:p>
      <w:pPr>
        <w:autoSpaceDN w:val="0"/>
        <w:autoSpaceDE w:val="0"/>
        <w:widowControl/>
        <w:spacing w:line="245" w:lineRule="auto" w:before="346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Contrato de Concessão ou de Parceria Público-Privada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Para município cujos serviços de limpeza urbana e manejo de resíduos sólidos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executados através de Contrato de Concessão ou de Parceria Público-Privada, o valor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- 2024 será calculado conforme definições nas cláusulas contratuais,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como a forma de repasse dos respectivos valores à ARES-PCJ.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- O valor total apurado da Taxa de Regulação e Fiscalização – 2024 a ser pago à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dividido em 10 (dez) parcelas mensais iguais e sequenciais, repassadas todo dia 15 (quinze)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cada mês, com o vencimento da primeira parcela no mês de março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Caso as datas dos vencimentos coincidam com sábado, domingo ou feriado,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 vencimento ficará prorrogado automaticamente para o primeiro dia útil subsequente. </w:t>
      </w:r>
    </w:p>
    <w:p>
      <w:pPr>
        <w:autoSpaceDN w:val="0"/>
        <w:autoSpaceDE w:val="0"/>
        <w:widowControl/>
        <w:spacing w:line="245" w:lineRule="auto" w:before="34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Disposições Gerais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10 - Para fins de comprovação do valor correspondente à Taxa de Regulação e Fiscalização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2024, os municípios com prestação direta (prefeitura, autarquia, empresa pública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 mista) deverão encaminhar à ARES-PCJ, até o dia 31 de janeiro de 2024,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demonstrativos contábeis da Receita Requerida para os serviços de limpeza urbana e manejo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 referentes ao Exercício 2023, devidamente validados.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 - As empresas privadas que, através de contratos de concessão ou de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privada, prestam serviços de limpeza urbana e manejo de resíduos sólidos deverão encaminhar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ARES-PCJ, até o dia 31 de janeiro de 2024, seus balanços e demonstrativos contábeis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financeiros, devidamente validados e publicados.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No ato de encaminhamento da apuração da Receita Requerida, referentes aos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urbana e manejo de resíduos sólidos, os municípios deverão anexar relatório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ou correspondência à classificação padrão das despesas com estes serviços proposta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 como instrumento de orientação e constante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11 - Os casos omissos quanto à aplicação desta Resolução serão apreciados e resolvidos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âmbito da Diretoria Executiva da ARES-PCJ.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12 - Esta Resolução entrará em vigor na data da sua publicação.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5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526 – 07/11/2023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52" w:right="1056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526, DE 01 DE NOVEMBRO DE 2023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5" w:lineRule="auto" w:before="344" w:after="0"/>
        <w:ind w:left="1008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ORIENTAÇÃO PARA CLASSIFICAÇÃO ORÇAMENTÁRIA DAS DESPESAS COM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LIMPEZA URBANA E MANEJO DE RESÍDUOS SÓLIDOS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sistemas de classificação, abaixo, representam uma proposta mais adequada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orçamentária e contábil das despesas públicas com serviços de limpeza urbana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manejo de resíduos sólidos, nos termos da Lei federal nº 11.445/2007.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Agência Reguladora ARES-PCJ orienta os prestadores públicos desses serviços que realizem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progressivamente a transição para esse modelo de classificação.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ato de encaminhamento dos demonstrativos contábeis da apuração da Receita Requerida,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prestadores dos serviços públicos de resíduos sólidos deverão anexar relatório de adequação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correspondência à classificação padrão das despesas. </w:t>
      </w:r>
    </w:p>
    <w:p>
      <w:pPr>
        <w:autoSpaceDN w:val="0"/>
        <w:autoSpaceDE w:val="0"/>
        <w:widowControl/>
        <w:spacing w:line="245" w:lineRule="auto" w:before="6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prestador de serviços declarar-se-á “adequado” caso sua classificação reproduza 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orientado. Do contrário, deverá indicar a correspondência entre suas classificações e aquelas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propostas pela Agência Reguladora ARES-PCJ.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63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526 – 07/11/2023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52" w:right="1060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2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Classificação – Despesas com Serviços de Limpeza Pública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632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7.2000000000000455" w:val="single" w:color="#FFFFFF"/>
              <w:bottom w:sz="7.2000000000000455" w:val="single" w:color="#FFFFFF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FUNÇÃO </w:t>
            </w:r>
          </w:p>
        </w:tc>
        <w:tc>
          <w:tcPr>
            <w:tcW w:type="dxa" w:w="7728"/>
            <w:gridSpan w:val="3"/>
            <w:tcBorders>
              <w:start w:sz="7.2000000000000455" w:val="single" w:color="#FFFFFF"/>
              <w:top w:sz="4.0" w:val="single" w:color="#000000"/>
              <w:end w:sz="4.0" w:val="single" w:color="#000000"/>
              <w:bottom w:sz="7.2000000000000455" w:val="single" w:color="#FFFFFF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Saneamento </w:t>
            </w:r>
          </w:p>
        </w:tc>
      </w:tr>
      <w:tr>
        <w:trPr>
          <w:trHeight w:hRule="exact" w:val="632"/>
        </w:trPr>
        <w:tc>
          <w:tcPr>
            <w:tcW w:type="dxa" w:w="1618"/>
            <w:tcBorders>
              <w:start w:sz="4.0" w:val="single" w:color="#000000"/>
              <w:top w:sz="7.2000000000000455" w:val="single" w:color="#FFFFFF"/>
              <w:end w:sz="7.2000000000000455" w:val="single" w:color="#FFFFFF"/>
              <w:bottom w:sz="8.0" w:val="single" w:color="#FFFFFF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SUBFUNÇÃO </w:t>
            </w:r>
          </w:p>
        </w:tc>
        <w:tc>
          <w:tcPr>
            <w:tcW w:type="dxa" w:w="7728"/>
            <w:gridSpan w:val="3"/>
            <w:tcBorders>
              <w:start w:sz="7.2000000000000455" w:val="single" w:color="#FFFFFF"/>
              <w:top w:sz="7.2000000000000455" w:val="single" w:color="#FFFFFF"/>
              <w:end w:sz="4.0" w:val="single" w:color="#000000"/>
              <w:bottom w:sz="8.0" w:val="single" w:color="#FFFFFF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Saneamento Básico Urbano </w:t>
            </w:r>
          </w:p>
        </w:tc>
      </w:tr>
      <w:tr>
        <w:trPr>
          <w:trHeight w:hRule="exact" w:val="636"/>
        </w:trPr>
        <w:tc>
          <w:tcPr>
            <w:tcW w:type="dxa" w:w="1618"/>
            <w:tcBorders>
              <w:start w:sz="4.0" w:val="single" w:color="#000000"/>
              <w:top w:sz="8.0" w:val="single" w:color="#FFFFFF"/>
              <w:end w:sz="7.2000000000000455" w:val="single" w:color="#FFFFFF"/>
              <w:bottom w:sz="8.0" w:val="single" w:color="#FFFFFF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PROGRAMA </w:t>
            </w:r>
          </w:p>
        </w:tc>
        <w:tc>
          <w:tcPr>
            <w:tcW w:type="dxa" w:w="7728"/>
            <w:gridSpan w:val="3"/>
            <w:tcBorders>
              <w:start w:sz="7.2000000000000455" w:val="single" w:color="#FFFFFF"/>
              <w:top w:sz="8.0" w:val="single" w:color="#FFFFFF"/>
              <w:end w:sz="4.0" w:val="single" w:color="#000000"/>
              <w:bottom w:sz="8.0" w:val="single" w:color="#FFFFFF"/>
            </w:tcBorders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Limpeza Urbana </w:t>
            </w:r>
          </w:p>
        </w:tc>
      </w:tr>
      <w:tr>
        <w:trPr>
          <w:trHeight w:hRule="exact" w:val="1280"/>
        </w:trPr>
        <w:tc>
          <w:tcPr>
            <w:tcW w:type="dxa" w:w="1618"/>
            <w:tcBorders>
              <w:start w:sz="4.0" w:val="single" w:color="#000000"/>
              <w:top w:sz="8.0" w:val="single" w:color="#FFFFFF"/>
              <w:end w:sz="7.2000000000000455" w:val="single" w:color="#FFFFFF"/>
              <w:bottom w:sz="8.0" w:val="single" w:color="#FFFFFF"/>
            </w:tcBorders>
            <w:shd w:fill="ffe6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AÇÕES </w:t>
            </w:r>
          </w:p>
        </w:tc>
        <w:tc>
          <w:tcPr>
            <w:tcW w:type="dxa" w:w="2576"/>
            <w:tcBorders>
              <w:start w:sz="7.2000000000000455" w:val="single" w:color="#FFFFFF"/>
              <w:top w:sz="8.0" w:val="single" w:color="#FFFFFF"/>
              <w:end w:sz="7.200000000000273" w:val="single" w:color="#FFFFFF"/>
              <w:bottom w:sz="8.0" w:val="single" w:color="#FFFFFF"/>
            </w:tcBorders>
            <w:shd w:fill="ffe6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Varrição </w:t>
            </w:r>
          </w:p>
        </w:tc>
        <w:tc>
          <w:tcPr>
            <w:tcW w:type="dxa" w:w="2574"/>
            <w:tcBorders>
              <w:start w:sz="7.200000000000273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ffe6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Capina, Poda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Roçada </w:t>
            </w:r>
          </w:p>
        </w:tc>
        <w:tc>
          <w:tcPr>
            <w:tcW w:type="dxa" w:w="2578"/>
            <w:tcBorders>
              <w:start w:sz="8.0" w:val="single" w:color="#FFFFFF"/>
              <w:top w:sz="8.0" w:val="single" w:color="#FFFFFF"/>
              <w:end w:sz="4.0" w:val="single" w:color="#000000"/>
              <w:bottom w:sz="8.0" w:val="single" w:color="#FFFFFF"/>
            </w:tcBorders>
            <w:shd w:fill="ffe6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Desobstruções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Bocas de Lobo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Logradouros </w:t>
            </w:r>
          </w:p>
        </w:tc>
      </w:tr>
      <w:tr>
        <w:trPr>
          <w:trHeight w:hRule="exact" w:val="532"/>
        </w:trPr>
        <w:tc>
          <w:tcPr>
            <w:tcW w:type="dxa" w:w="1618"/>
            <w:vMerge w:val="restart"/>
            <w:tcBorders>
              <w:start w:sz="4.0" w:val="single" w:color="#000000"/>
              <w:top w:sz="8.0" w:val="single" w:color="#FFFFFF"/>
              <w:end w:sz="7.2000000000000455" w:val="single" w:color="#FFFFFF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0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ELEMENTOS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DESPESA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(mínimo) </w:t>
            </w:r>
          </w:p>
        </w:tc>
        <w:tc>
          <w:tcPr>
            <w:tcW w:type="dxa" w:w="2576"/>
            <w:tcBorders>
              <w:start w:sz="7.2000000000000455" w:val="single" w:color="#FFFFFF"/>
              <w:top w:sz="8.0" w:val="single" w:color="#FFFFFF"/>
              <w:end w:sz="7.200000000000273" w:val="single" w:color="#FFFFFF"/>
              <w:bottom w:sz="7.200000000000273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Pessoal </w:t>
            </w:r>
          </w:p>
        </w:tc>
        <w:tc>
          <w:tcPr>
            <w:tcW w:type="dxa" w:w="2574"/>
            <w:tcBorders>
              <w:start w:sz="7.200000000000273" w:val="single" w:color="#FFFFFF"/>
              <w:top w:sz="8.0" w:val="single" w:color="#FFFFFF"/>
              <w:end w:sz="8.0" w:val="single" w:color="#FFFFFF"/>
              <w:bottom w:sz="7.200000000000273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Pessoal </w:t>
            </w:r>
          </w:p>
        </w:tc>
        <w:tc>
          <w:tcPr>
            <w:tcW w:type="dxa" w:w="2578"/>
            <w:tcBorders>
              <w:start w:sz="8.0" w:val="single" w:color="#FFFFFF"/>
              <w:top w:sz="8.0" w:val="single" w:color="#FFFFFF"/>
              <w:end w:sz="4.0" w:val="single" w:color="#000000"/>
              <w:bottom w:sz="7.200000000000273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Pessoal </w:t>
            </w:r>
          </w:p>
        </w:tc>
      </w:tr>
      <w:tr>
        <w:trPr>
          <w:trHeight w:hRule="exact" w:val="530"/>
        </w:trPr>
        <w:tc>
          <w:tcPr>
            <w:tcW w:type="dxa" w:w="2344"/>
            <w:vMerge/>
            <w:tcBorders>
              <w:start w:sz="4.0" w:val="single" w:color="#000000"/>
              <w:top w:sz="8.0" w:val="single" w:color="#FFFFFF"/>
              <w:end w:sz="7.2000000000000455" w:val="single" w:color="#FFFFFF"/>
              <w:bottom w:sz="4.0" w:val="single" w:color="#000000"/>
            </w:tcBorders>
          </w:tcPr>
          <w:p/>
        </w:tc>
        <w:tc>
          <w:tcPr>
            <w:tcW w:type="dxa" w:w="2576"/>
            <w:tcBorders>
              <w:start w:sz="7.2000000000000455" w:val="single" w:color="#FFFFFF"/>
              <w:top w:sz="7.200000000000273" w:val="single" w:color="#FFFFFF"/>
              <w:end w:sz="7.200000000000273" w:val="single" w:color="#FFFFFF"/>
              <w:bottom w:sz="7.200000000000273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</w:t>
            </w:r>
          </w:p>
        </w:tc>
        <w:tc>
          <w:tcPr>
            <w:tcW w:type="dxa" w:w="2574"/>
            <w:tcBorders>
              <w:start w:sz="7.200000000000273" w:val="single" w:color="#FFFFFF"/>
              <w:top w:sz="7.200000000000273" w:val="single" w:color="#FFFFFF"/>
              <w:end w:sz="8.0" w:val="single" w:color="#FFFFFF"/>
              <w:bottom w:sz="7.200000000000273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</w:t>
            </w:r>
          </w:p>
        </w:tc>
        <w:tc>
          <w:tcPr>
            <w:tcW w:type="dxa" w:w="2578"/>
            <w:tcBorders>
              <w:start w:sz="8.0" w:val="single" w:color="#FFFFFF"/>
              <w:top w:sz="7.200000000000273" w:val="single" w:color="#FFFFFF"/>
              <w:end w:sz="4.0" w:val="single" w:color="#000000"/>
              <w:bottom w:sz="7.200000000000273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</w:t>
            </w:r>
          </w:p>
        </w:tc>
      </w:tr>
      <w:tr>
        <w:trPr>
          <w:trHeight w:hRule="exact" w:val="530"/>
        </w:trPr>
        <w:tc>
          <w:tcPr>
            <w:tcW w:type="dxa" w:w="2344"/>
            <w:vMerge/>
            <w:tcBorders>
              <w:start w:sz="4.0" w:val="single" w:color="#000000"/>
              <w:top w:sz="8.0" w:val="single" w:color="#FFFFFF"/>
              <w:end w:sz="7.2000000000000455" w:val="single" w:color="#FFFFFF"/>
              <w:bottom w:sz="4.0" w:val="single" w:color="#000000"/>
            </w:tcBorders>
          </w:tcPr>
          <w:p/>
        </w:tc>
        <w:tc>
          <w:tcPr>
            <w:tcW w:type="dxa" w:w="2576"/>
            <w:tcBorders>
              <w:start w:sz="7.2000000000000455" w:val="single" w:color="#FFFFFF"/>
              <w:top w:sz="7.200000000000273" w:val="single" w:color="#FFFFFF"/>
              <w:end w:sz="7.200000000000273" w:val="single" w:color="#FFFFFF"/>
              <w:bottom w:sz="8.0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Terceiros </w:t>
            </w:r>
          </w:p>
        </w:tc>
        <w:tc>
          <w:tcPr>
            <w:tcW w:type="dxa" w:w="2574"/>
            <w:tcBorders>
              <w:start w:sz="7.200000000000273" w:val="single" w:color="#FFFFFF"/>
              <w:top w:sz="7.200000000000273" w:val="single" w:color="#FFFFFF"/>
              <w:end w:sz="8.0" w:val="single" w:color="#FFFFFF"/>
              <w:bottom w:sz="8.0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Terceiros </w:t>
            </w:r>
          </w:p>
        </w:tc>
        <w:tc>
          <w:tcPr>
            <w:tcW w:type="dxa" w:w="2578"/>
            <w:tcBorders>
              <w:start w:sz="8.0" w:val="single" w:color="#FFFFFF"/>
              <w:top w:sz="7.200000000000273" w:val="single" w:color="#FFFFFF"/>
              <w:end w:sz="4.0" w:val="single" w:color="#000000"/>
              <w:bottom w:sz="8.0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Terceiros </w:t>
            </w:r>
          </w:p>
        </w:tc>
      </w:tr>
      <w:tr>
        <w:trPr>
          <w:trHeight w:hRule="exact" w:val="524"/>
        </w:trPr>
        <w:tc>
          <w:tcPr>
            <w:tcW w:type="dxa" w:w="2344"/>
            <w:vMerge/>
            <w:tcBorders>
              <w:start w:sz="4.0" w:val="single" w:color="#000000"/>
              <w:top w:sz="8.0" w:val="single" w:color="#FFFFFF"/>
              <w:end w:sz="7.2000000000000455" w:val="single" w:color="#FFFFFF"/>
              <w:bottom w:sz="4.0" w:val="single" w:color="#000000"/>
            </w:tcBorders>
          </w:tcPr>
          <w:p/>
        </w:tc>
        <w:tc>
          <w:tcPr>
            <w:tcW w:type="dxa" w:w="2576"/>
            <w:tcBorders>
              <w:start w:sz="7.2000000000000455" w:val="single" w:color="#FFFFFF"/>
              <w:top w:sz="8.0" w:val="single" w:color="#FFFFFF"/>
              <w:end w:sz="7.200000000000273" w:val="single" w:color="#FFFFFF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Investimentos </w:t>
            </w:r>
          </w:p>
        </w:tc>
        <w:tc>
          <w:tcPr>
            <w:tcW w:type="dxa" w:w="2574"/>
            <w:tcBorders>
              <w:start w:sz="7.200000000000273" w:val="single" w:color="#FFFFFF"/>
              <w:top w:sz="8.0" w:val="single" w:color="#FFFFFF"/>
              <w:end w:sz="8.0" w:val="single" w:color="#FFFFFF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Investimentos </w:t>
            </w:r>
          </w:p>
        </w:tc>
        <w:tc>
          <w:tcPr>
            <w:tcW w:type="dxa" w:w="2578"/>
            <w:tcBorders>
              <w:start w:sz="8.0" w:val="single" w:color="#FFFFFF"/>
              <w:top w:sz="8.0" w:val="single" w:color="#FFFFFF"/>
              <w:end w:sz="4.0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Investimentos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77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526 – 07/11/2023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50" w:right="1112" w:bottom="48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9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2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Classificação – Despesas com Serviços de Manejo de Resíduos Sólidos Urbanos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612"/>
        <w:gridCol w:w="1612"/>
        <w:gridCol w:w="1612"/>
        <w:gridCol w:w="1612"/>
        <w:gridCol w:w="1612"/>
        <w:gridCol w:w="1612"/>
      </w:tblGrid>
      <w:tr>
        <w:trPr>
          <w:trHeight w:hRule="exact" w:val="604"/>
        </w:trPr>
        <w:tc>
          <w:tcPr>
            <w:tcW w:type="dxa" w:w="1420"/>
            <w:tcBorders>
              <w:start w:sz="3.999999999999943" w:val="single" w:color="#000000"/>
              <w:top w:sz="4.0" w:val="single" w:color="#000000"/>
              <w:end w:sz="8.0" w:val="single" w:color="#FFFFFF"/>
              <w:bottom w:sz="8.0" w:val="single" w:color="#FFFFFF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FUNÇÃO </w:t>
            </w:r>
          </w:p>
        </w:tc>
        <w:tc>
          <w:tcPr>
            <w:tcW w:type="dxa" w:w="8222"/>
            <w:gridSpan w:val="5"/>
            <w:tcBorders>
              <w:start w:sz="8.0" w:val="single" w:color="#FFFFFF"/>
              <w:top w:sz="4.0" w:val="single" w:color="#000000"/>
              <w:end w:sz="4.0" w:val="single" w:color="#000000"/>
              <w:bottom w:sz="8.0" w:val="single" w:color="#FFFFFF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Saneamento </w:t>
            </w:r>
          </w:p>
        </w:tc>
      </w:tr>
      <w:tr>
        <w:trPr>
          <w:trHeight w:hRule="exact" w:val="610"/>
        </w:trPr>
        <w:tc>
          <w:tcPr>
            <w:tcW w:type="dxa" w:w="1420"/>
            <w:tcBorders>
              <w:start w:sz="3.999999999999943" w:val="single" w:color="#000000"/>
              <w:top w:sz="8.0" w:val="single" w:color="#FFFFFF"/>
              <w:end w:sz="8.0" w:val="single" w:color="#FFFFFF"/>
              <w:bottom w:sz="8.0" w:val="single" w:color="#FFFFFF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SUBFUNÇÃO </w:t>
            </w:r>
          </w:p>
        </w:tc>
        <w:tc>
          <w:tcPr>
            <w:tcW w:type="dxa" w:w="8222"/>
            <w:gridSpan w:val="5"/>
            <w:tcBorders>
              <w:start w:sz="8.0" w:val="single" w:color="#FFFFFF"/>
              <w:top w:sz="8.0" w:val="single" w:color="#FFFFFF"/>
              <w:end w:sz="4.0" w:val="single" w:color="#000000"/>
              <w:bottom w:sz="8.0" w:val="single" w:color="#FFFFFF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Saneamento Básico Urbano </w:t>
            </w:r>
          </w:p>
        </w:tc>
      </w:tr>
      <w:tr>
        <w:trPr>
          <w:trHeight w:hRule="exact" w:val="608"/>
        </w:trPr>
        <w:tc>
          <w:tcPr>
            <w:tcW w:type="dxa" w:w="1420"/>
            <w:tcBorders>
              <w:start w:sz="3.999999999999943" w:val="single" w:color="#000000"/>
              <w:top w:sz="8.0" w:val="single" w:color="#FFFFFF"/>
              <w:end w:sz="8.0" w:val="single" w:color="#FFFFFF"/>
              <w:bottom w:sz="7.2000000000000455" w:val="single" w:color="#FFFFFF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PROGRAMA </w:t>
            </w:r>
          </w:p>
        </w:tc>
        <w:tc>
          <w:tcPr>
            <w:tcW w:type="dxa" w:w="8222"/>
            <w:gridSpan w:val="5"/>
            <w:tcBorders>
              <w:start w:sz="8.0" w:val="single" w:color="#FFFFFF"/>
              <w:top w:sz="8.0" w:val="single" w:color="#FFFFFF"/>
              <w:end w:sz="4.0" w:val="single" w:color="#000000"/>
              <w:bottom w:sz="7.2000000000000455" w:val="single" w:color="#FFFFFF"/>
            </w:tcBorders>
            <w:shd w:fill="ffc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Manejo de Resíduos Sólidos </w:t>
            </w:r>
          </w:p>
        </w:tc>
      </w:tr>
      <w:tr>
        <w:trPr>
          <w:trHeight w:hRule="exact" w:val="1230"/>
        </w:trPr>
        <w:tc>
          <w:tcPr>
            <w:tcW w:type="dxa" w:w="1420"/>
            <w:tcBorders>
              <w:start w:sz="3.999999999999943" w:val="single" w:color="#000000"/>
              <w:top w:sz="7.2000000000000455" w:val="single" w:color="#FFFFFF"/>
              <w:end w:sz="8.0" w:val="single" w:color="#FFFFFF"/>
              <w:bottom w:sz="7.200000000000273" w:val="single" w:color="#FFFFFF"/>
            </w:tcBorders>
            <w:shd w:fill="ffe6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AÇÕES </w:t>
            </w:r>
          </w:p>
        </w:tc>
        <w:tc>
          <w:tcPr>
            <w:tcW w:type="dxa" w:w="1644"/>
            <w:tcBorders>
              <w:start w:sz="8.0" w:val="single" w:color="#FFFFFF"/>
              <w:top w:sz="7.2000000000000455" w:val="single" w:color="#FFFFFF"/>
              <w:end w:sz="8.0" w:val="single" w:color="#FFFFFF"/>
              <w:bottom w:sz="7.200000000000273" w:val="single" w:color="#FFFFFF"/>
            </w:tcBorders>
            <w:shd w:fill="ffe6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Transporte,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Transbordo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Destinação RSU </w:t>
            </w:r>
          </w:p>
        </w:tc>
        <w:tc>
          <w:tcPr>
            <w:tcW w:type="dxa" w:w="1644"/>
            <w:tcBorders>
              <w:start w:sz="8.0" w:val="single" w:color="#FFFFFF"/>
              <w:top w:sz="7.2000000000000455" w:val="single" w:color="#FFFFFF"/>
              <w:end w:sz="8.0" w:val="single" w:color="#FFFFFF"/>
              <w:bottom w:sz="7.200000000000273" w:val="single" w:color="#FFFFFF"/>
            </w:tcBorders>
            <w:shd w:fill="ffe6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Seletiva </w:t>
            </w:r>
          </w:p>
        </w:tc>
        <w:tc>
          <w:tcPr>
            <w:tcW w:type="dxa" w:w="1644"/>
            <w:tcBorders>
              <w:start w:sz="8.0" w:val="single" w:color="#FFFFFF"/>
              <w:top w:sz="7.2000000000000455" w:val="single" w:color="#FFFFFF"/>
              <w:end w:sz="8.0" w:val="single" w:color="#FFFFFF"/>
              <w:bottom w:sz="7.200000000000273" w:val="single" w:color="#FFFFFF"/>
            </w:tcBorders>
            <w:shd w:fill="ffe6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Operação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Contratação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de Aterro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Sanitário </w:t>
            </w:r>
          </w:p>
        </w:tc>
        <w:tc>
          <w:tcPr>
            <w:tcW w:type="dxa" w:w="1644"/>
            <w:tcBorders>
              <w:start w:sz="8.0" w:val="single" w:color="#FFFFFF"/>
              <w:top w:sz="7.2000000000000455" w:val="single" w:color="#FFFFFF"/>
              <w:end w:sz="7.200000000000273" w:val="single" w:color="#FFFFFF"/>
              <w:bottom w:sz="7.200000000000273" w:val="single" w:color="#FFFFFF"/>
            </w:tcBorders>
            <w:shd w:fill="ff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Resíduos dos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Serviços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Saúde </w:t>
            </w:r>
          </w:p>
        </w:tc>
        <w:tc>
          <w:tcPr>
            <w:tcW w:type="dxa" w:w="1646"/>
            <w:tcBorders>
              <w:start w:sz="7.200000000000273" w:val="single" w:color="#FFFFFF"/>
              <w:top w:sz="7.2000000000000455" w:val="single" w:color="#FFFFFF"/>
              <w:end w:sz="4.0" w:val="single" w:color="#000000"/>
              <w:bottom w:sz="7.200000000000273" w:val="single" w:color="#FFFFFF"/>
            </w:tcBorders>
            <w:shd w:fill="ff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Resíduos da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Construção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Civil </w:t>
            </w:r>
          </w:p>
        </w:tc>
      </w:tr>
      <w:tr>
        <w:trPr>
          <w:trHeight w:hRule="exact" w:val="508"/>
        </w:trPr>
        <w:tc>
          <w:tcPr>
            <w:tcW w:type="dxa" w:w="1420"/>
            <w:vMerge w:val="restart"/>
            <w:tcBorders>
              <w:start w:sz="3.999999999999943" w:val="single" w:color="#000000"/>
              <w:top w:sz="7.200000000000273" w:val="single" w:color="#FFFFFF"/>
              <w:end w:sz="8.0" w:val="single" w:color="#FFFFFF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ELEMENTOS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DESPESA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(mínimo) </w:t>
            </w:r>
          </w:p>
        </w:tc>
        <w:tc>
          <w:tcPr>
            <w:tcW w:type="dxa" w:w="1644"/>
            <w:tcBorders>
              <w:start w:sz="8.0" w:val="single" w:color="#FFFFFF"/>
              <w:top w:sz="7.200000000000273" w:val="single" w:color="#FFFFFF"/>
              <w:end w:sz="8.0" w:val="single" w:color="#FFFFFF"/>
              <w:bottom w:sz="7.199999999999818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Pessoal </w:t>
            </w:r>
          </w:p>
        </w:tc>
        <w:tc>
          <w:tcPr>
            <w:tcW w:type="dxa" w:w="1644"/>
            <w:tcBorders>
              <w:start w:sz="8.0" w:val="single" w:color="#FFFFFF"/>
              <w:top w:sz="7.200000000000273" w:val="single" w:color="#FFFFFF"/>
              <w:end w:sz="8.0" w:val="single" w:color="#FFFFFF"/>
              <w:bottom w:sz="7.199999999999818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Pessoal </w:t>
            </w:r>
          </w:p>
        </w:tc>
        <w:tc>
          <w:tcPr>
            <w:tcW w:type="dxa" w:w="1644"/>
            <w:tcBorders>
              <w:start w:sz="8.0" w:val="single" w:color="#FFFFFF"/>
              <w:top w:sz="7.200000000000273" w:val="single" w:color="#FFFFFF"/>
              <w:end w:sz="8.0" w:val="single" w:color="#FFFFFF"/>
              <w:bottom w:sz="7.199999999999818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Pessoal </w:t>
            </w:r>
          </w:p>
        </w:tc>
        <w:tc>
          <w:tcPr>
            <w:tcW w:type="dxa" w:w="1644"/>
            <w:vMerge w:val="restart"/>
            <w:tcBorders>
              <w:start w:sz="8.0" w:val="single" w:color="#FFFFFF"/>
              <w:top w:sz="7.200000000000273" w:val="single" w:color="#FFFFFF"/>
              <w:bottom w:sz="4.0" w:val="single" w:color="#000000"/>
            </w:tcBorders>
            <w:shd w:fill="ff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7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Não compõe 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escopo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Regulação </w:t>
            </w:r>
          </w:p>
        </w:tc>
        <w:tc>
          <w:tcPr>
            <w:tcW w:type="dxa" w:w="1646"/>
            <w:vMerge w:val="restart"/>
            <w:tcBorders>
              <w:top w:sz="7.200000000000273" w:val="single" w:color="#FFFFFF"/>
              <w:end w:sz="4.0" w:val="single" w:color="#000000"/>
              <w:bottom w:sz="4.0" w:val="single" w:color="#000000"/>
            </w:tcBorders>
            <w:shd w:fill="ff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7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Não compõe 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escopo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regulação </w:t>
            </w:r>
          </w:p>
        </w:tc>
      </w:tr>
      <w:tr>
        <w:trPr>
          <w:trHeight w:hRule="exact" w:val="506"/>
        </w:trPr>
        <w:tc>
          <w:tcPr>
            <w:tcW w:type="dxa" w:w="1612"/>
            <w:vMerge/>
            <w:tcBorders>
              <w:start w:sz="3.999999999999943" w:val="single" w:color="#000000"/>
              <w:top w:sz="7.200000000000273" w:val="single" w:color="#FFFFFF"/>
              <w:end w:sz="8.0" w:val="single" w:color="#FFFFFF"/>
              <w:bottom w:sz="4.0" w:val="single" w:color="#000000"/>
            </w:tcBorders>
          </w:tcPr>
          <w:p/>
        </w:tc>
        <w:tc>
          <w:tcPr>
            <w:tcW w:type="dxa" w:w="1644"/>
            <w:tcBorders>
              <w:start w:sz="8.0" w:val="single" w:color="#FFFFFF"/>
              <w:top w:sz="7.199999999999818" w:val="single" w:color="#FFFFFF"/>
              <w:end w:sz="8.0" w:val="single" w:color="#FFFFFF"/>
              <w:bottom w:sz="8.0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Materiais </w:t>
            </w:r>
          </w:p>
        </w:tc>
        <w:tc>
          <w:tcPr>
            <w:tcW w:type="dxa" w:w="1644"/>
            <w:tcBorders>
              <w:start w:sz="8.0" w:val="single" w:color="#FFFFFF"/>
              <w:top w:sz="7.199999999999818" w:val="single" w:color="#FFFFFF"/>
              <w:end w:sz="8.0" w:val="single" w:color="#FFFFFF"/>
              <w:bottom w:sz="8.0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Materiais </w:t>
            </w:r>
          </w:p>
        </w:tc>
        <w:tc>
          <w:tcPr>
            <w:tcW w:type="dxa" w:w="1644"/>
            <w:tcBorders>
              <w:start w:sz="8.0" w:val="single" w:color="#FFFFFF"/>
              <w:top w:sz="7.199999999999818" w:val="single" w:color="#FFFFFF"/>
              <w:end w:sz="8.0" w:val="single" w:color="#FFFFFF"/>
              <w:bottom w:sz="8.0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Materiais </w:t>
            </w:r>
          </w:p>
        </w:tc>
        <w:tc>
          <w:tcPr>
            <w:tcW w:type="dxa" w:w="1612"/>
            <w:vMerge/>
            <w:tcBorders>
              <w:start w:sz="8.0" w:val="single" w:color="#FFFFFF"/>
              <w:top w:sz="7.200000000000273" w:val="single" w:color="#FFFFFF"/>
              <w:bottom w:sz="4.0" w:val="single" w:color="#000000"/>
            </w:tcBorders>
          </w:tcPr>
          <w:p/>
        </w:tc>
        <w:tc>
          <w:tcPr>
            <w:tcW w:type="dxa" w:w="1612"/>
            <w:vMerge/>
            <w:tcBorders>
              <w:top w:sz="7.200000000000273" w:val="single" w:color="#FFFFFF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556"/>
        </w:trPr>
        <w:tc>
          <w:tcPr>
            <w:tcW w:type="dxa" w:w="1612"/>
            <w:vMerge/>
            <w:tcBorders>
              <w:start w:sz="3.999999999999943" w:val="single" w:color="#000000"/>
              <w:top w:sz="7.200000000000273" w:val="single" w:color="#FFFFFF"/>
              <w:end w:sz="8.0" w:val="single" w:color="#FFFFFF"/>
              <w:bottom w:sz="4.0" w:val="single" w:color="#000000"/>
            </w:tcBorders>
          </w:tcPr>
          <w:p/>
        </w:tc>
        <w:tc>
          <w:tcPr>
            <w:tcW w:type="dxa" w:w="1644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Terceiros </w:t>
            </w:r>
          </w:p>
        </w:tc>
        <w:tc>
          <w:tcPr>
            <w:tcW w:type="dxa" w:w="1644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Terceiros </w:t>
            </w:r>
          </w:p>
        </w:tc>
        <w:tc>
          <w:tcPr>
            <w:tcW w:type="dxa" w:w="1644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Terceiros </w:t>
            </w:r>
          </w:p>
        </w:tc>
        <w:tc>
          <w:tcPr>
            <w:tcW w:type="dxa" w:w="1612"/>
            <w:vMerge/>
            <w:tcBorders>
              <w:start w:sz="8.0" w:val="single" w:color="#FFFFFF"/>
              <w:top w:sz="7.200000000000273" w:val="single" w:color="#FFFFFF"/>
              <w:bottom w:sz="4.0" w:val="single" w:color="#000000"/>
            </w:tcBorders>
          </w:tcPr>
          <w:p/>
        </w:tc>
        <w:tc>
          <w:tcPr>
            <w:tcW w:type="dxa" w:w="1612"/>
            <w:vMerge/>
            <w:tcBorders>
              <w:top w:sz="7.200000000000273" w:val="single" w:color="#FFFFFF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504"/>
        </w:trPr>
        <w:tc>
          <w:tcPr>
            <w:tcW w:type="dxa" w:w="1612"/>
            <w:vMerge/>
            <w:tcBorders>
              <w:start w:sz="3.999999999999943" w:val="single" w:color="#000000"/>
              <w:top w:sz="7.200000000000273" w:val="single" w:color="#FFFFFF"/>
              <w:end w:sz="8.0" w:val="single" w:color="#FFFFFF"/>
              <w:bottom w:sz="4.0" w:val="single" w:color="#000000"/>
            </w:tcBorders>
          </w:tcPr>
          <w:p/>
        </w:tc>
        <w:tc>
          <w:tcPr>
            <w:tcW w:type="dxa" w:w="1644"/>
            <w:tcBorders>
              <w:start w:sz="8.0" w:val="single" w:color="#FFFFFF"/>
              <w:top w:sz="8.0" w:val="single" w:color="#FFFFFF"/>
              <w:end w:sz="8.0" w:val="single" w:color="#FFFFFF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Investimentos </w:t>
            </w:r>
          </w:p>
        </w:tc>
        <w:tc>
          <w:tcPr>
            <w:tcW w:type="dxa" w:w="1644"/>
            <w:tcBorders>
              <w:start w:sz="8.0" w:val="single" w:color="#FFFFFF"/>
              <w:top w:sz="8.0" w:val="single" w:color="#FFFFFF"/>
              <w:end w:sz="8.0" w:val="single" w:color="#FFFFFF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Investimentos </w:t>
            </w:r>
          </w:p>
        </w:tc>
        <w:tc>
          <w:tcPr>
            <w:tcW w:type="dxa" w:w="1644"/>
            <w:tcBorders>
              <w:start w:sz="8.0" w:val="single" w:color="#FFFFFF"/>
              <w:top w:sz="8.0" w:val="single" w:color="#FFFFFF"/>
              <w:end w:sz="8.0" w:val="single" w:color="#FFFFFF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Investimentos </w:t>
            </w:r>
          </w:p>
        </w:tc>
        <w:tc>
          <w:tcPr>
            <w:tcW w:type="dxa" w:w="1612"/>
            <w:vMerge/>
            <w:tcBorders>
              <w:start w:sz="8.0" w:val="single" w:color="#FFFFFF"/>
              <w:top w:sz="7.200000000000273" w:val="single" w:color="#FFFFFF"/>
              <w:bottom w:sz="4.0" w:val="single" w:color="#000000"/>
            </w:tcBorders>
          </w:tcPr>
          <w:p/>
        </w:tc>
        <w:tc>
          <w:tcPr>
            <w:tcW w:type="dxa" w:w="1612"/>
            <w:vMerge/>
            <w:tcBorders>
              <w:top w:sz="7.200000000000273" w:val="single" w:color="#FFFFFF"/>
              <w:end w:sz="4.0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tabs>
          <w:tab w:pos="9220" w:val="left"/>
        </w:tabs>
        <w:autoSpaceDE w:val="0"/>
        <w:widowControl/>
        <w:spacing w:line="194" w:lineRule="auto" w:before="7968" w:after="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526 – 07/11/2023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350" w:right="964" w:bottom="484" w:left="127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