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9792970</wp:posOffset>
            </wp:positionV>
            <wp:extent cx="7595870" cy="96786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9678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2520950</wp:posOffset>
            </wp:positionH>
            <wp:positionV relativeFrom="page">
              <wp:posOffset>359410</wp:posOffset>
            </wp:positionV>
            <wp:extent cx="2517140" cy="50545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5054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9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542, DE 17 DE JANEIRO DE 2024 </w:t>
      </w:r>
    </w:p>
    <w:p>
      <w:pPr>
        <w:autoSpaceDN w:val="0"/>
        <w:autoSpaceDE w:val="0"/>
        <w:widowControl/>
        <w:spacing w:line="245" w:lineRule="auto" w:before="638" w:after="0"/>
        <w:ind w:left="425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a redação do parágrafo único do art. 18,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incluindo-lhe os §§ 2º e 3º, e altera a redação dos </w:t>
      </w:r>
      <w:r>
        <w:rPr>
          <w:rFonts w:ascii="Calibri" w:hAnsi="Calibri" w:eastAsia="Calibri"/>
          <w:b w:val="0"/>
          <w:i/>
          <w:color w:val="000000"/>
          <w:sz w:val="24"/>
        </w:rPr>
        <w:t>arts. 137 e 140, do ANEXO A, da Resolução ARES-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363, de 26/11/2020, que aprovou o </w:t>
      </w:r>
      <w:r>
        <w:rPr>
          <w:rFonts w:ascii="Calibri" w:hAnsi="Calibri" w:eastAsia="Calibri"/>
          <w:b w:val="0"/>
          <w:i/>
          <w:color w:val="000000"/>
          <w:sz w:val="24"/>
        </w:rPr>
        <w:t>Regulamento de Prestação dos Serviços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Abastecimento de Água e Esgotamento Sanitário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e Atendimento aos Usuários do Município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Jumirim, e dá outras 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forma da Cláusula 32ª, inciso III, do Protocolo de Intenções,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do artigo 28, inciso III, do Estatuto Social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e do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o Município de Jumirim celebrou Convênio de Cooperação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ARES-PCJ, delegando as competências municipais de regulação e fiscalização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de água e esgotamento sanitário;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disposto no art. 23 da Lei federal nº 11.445</w:t>
      </w:r>
      <w:r>
        <w:rPr>
          <w:rFonts w:ascii="Calibri" w:hAnsi="Calibri" w:eastAsia="Calibri"/>
          <w:b w:val="0"/>
          <w:i w:val="0"/>
          <w:color w:val="000000"/>
          <w:sz w:val="24"/>
        </w:rPr>
        <w:t>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define os aspectos normativos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que as agências reguladoras editarão normas relativas às dimensões técnica, econômica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social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50/2014, em especial nos arts. 45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46, delimitam a forma e a obrigação do prestador de serviços de saneamento básico em editar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Regulamento de Serviços, visando a divulgação do padrão normativo aos usuários;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Secretaria Municipal de Obras, Serviços e Sistema de Água e Esgoto da Prefeitura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Jumirim, através do Protocolo 1Doc nº 722/2023, solicitou alteração do Regulamento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(Anexo A da Resolução ARES-PCJ nº 363/2020), para tratar de cobrança de débitos,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responsabilidade do proprietário pela atualização cadastral, multa e juros de mora incidentes;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141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E que, em face do cumprimento de todas as diretrizes, a Diretoria Executiva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reunida em 17 de janeiro de 2024;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4"/>
        <w:gridCol w:w="4574"/>
      </w:tblGrid>
      <w:tr>
        <w:trPr>
          <w:trHeight w:hRule="exact" w:val="238"/>
        </w:trPr>
        <w:tc>
          <w:tcPr>
            <w:tcW w:type="dxa" w:w="61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542 – 17/01/2024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41"/>
          <w:pgMar w:top="282" w:right="1340" w:bottom="55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9792970</wp:posOffset>
            </wp:positionV>
            <wp:extent cx="7595870" cy="96786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9678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3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2520950</wp:posOffset>
            </wp:positionH>
            <wp:positionV relativeFrom="page">
              <wp:posOffset>359410</wp:posOffset>
            </wp:positionV>
            <wp:extent cx="2517140" cy="50545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5054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8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Alterar a redação do parágrafo único e incluir os §§2º e 3º ao art. 18, do ANEXO A,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363, de 26/11/2020, que passa a vigorar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18...........................................................................................................................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6" w:after="0"/>
        <w:ind w:left="852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§1º. Nos casos de cadastros com inadimplências, os débitos serão inscritos em nome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efetivo usuário, ocorrendo todos os trâmites de cobrança judicial e/ou protesto,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sendo responsável pelos débitos referentes ao período de sua titularidade. </w:t>
      </w:r>
      <w:r>
        <w:rPr>
          <w:rFonts w:ascii="Calibri" w:hAnsi="Calibri" w:eastAsia="Calibri"/>
          <w:b w:val="0"/>
          <w:i w:val="0"/>
          <w:color w:val="000000"/>
          <w:sz w:val="24"/>
        </w:rPr>
        <w:t>(NR)</w:t>
      </w:r>
    </w:p>
    <w:p>
      <w:pPr>
        <w:autoSpaceDN w:val="0"/>
        <w:autoSpaceDE w:val="0"/>
        <w:widowControl/>
        <w:spacing w:line="245" w:lineRule="auto" w:before="348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§2º. Em casos de desatualização cadastral, é de responsabilidade do usuário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comprovar o período de sua titulação do imóvel. </w:t>
      </w:r>
    </w:p>
    <w:p>
      <w:pPr>
        <w:autoSpaceDN w:val="0"/>
        <w:autoSpaceDE w:val="0"/>
        <w:widowControl/>
        <w:spacing w:line="245" w:lineRule="auto" w:before="344" w:after="0"/>
        <w:ind w:left="852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§3º. Se, comprovado pelo usuário que durante o período da respectiva cobrança, não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era este responsável pelos débitos, as dívidas passarão a ser de responsabilidade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proprietário.”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art. 137, do ANEXO A, da Resolução ARES-PCJ nº 363,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26/11/2020, que passa a vigorar com a seguinte redação: </w:t>
      </w:r>
    </w:p>
    <w:p>
      <w:pPr>
        <w:autoSpaceDN w:val="0"/>
        <w:autoSpaceDE w:val="0"/>
        <w:widowControl/>
        <w:spacing w:line="245" w:lineRule="auto" w:before="344" w:after="0"/>
        <w:ind w:left="852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137. Na conta mensal paga após a data do respectivo vencimento, será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acrescida multa de 2% (dois por cento) sobre o valor total do débito, juros de mora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1% (um por cento) ao mês devido a partir do mês imediato ao seu vencimento, sendo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 montante lançado e cobrado na próxima conta.”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(NR)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Alterar a redação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art. 140, do ANEXO A, da Resolução ARES-PCJ nº 363,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26/11/2020,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852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140. O usuário do imóvel responde pelos débitos titulados em seu nome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referentes à prestação de qualquer serviço nele efetuado pelo SAE.”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(NR)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Esta Resolução entrará em vigor na data de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8974" w:val="left"/>
        </w:tabs>
        <w:autoSpaceDE w:val="0"/>
        <w:widowControl/>
        <w:spacing w:line="194" w:lineRule="auto" w:before="24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542 – 17/01/2024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</w:t>
      </w:r>
    </w:p>
    <w:sectPr w:rsidR="00FC693F" w:rsidRPr="0006063C" w:rsidSect="00034616">
      <w:pgSz w:w="11906" w:h="16841"/>
      <w:pgMar w:top="282" w:right="1340" w:bottom="55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