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544, DE 26 DE JANEIRO DE 2024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Capivari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3.755 de 04/11/2010,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Capivari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Capivari - SAAE,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em conformidade com a Resolução ARES-PCJ nº 115, de 17/12/2015,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01/2024-DFB, a Agência Reguladora PCJ fundamentou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cálculos e metodologia do Reajuste Tarifário nos termos da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Capivari,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6.386 de 02/01/2017, composto por membros nomeados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7.438/2024, reunido em 25 de janeiro de 2024,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01/2024-DFB,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Capivari - SAAE;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a Diretoria Executiva da ARES-PCJ, reunida em 26 de janeiro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544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Capivari - SAAE, em 4,78% (quatro inteiros e setenta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- Capivari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março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Capivari - SAAE, em 5,19% (cinco inteiros e dezenove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Capivari, a partir do mês de março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Capivari, conforme apresentado no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Capivari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após 30 (trinta) dias da publicação desta Resolução, na íntegra, na imprensa oficial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Capivari,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- Capivari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544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544, DE 26 DE JANEIRO DE 2024 </w:t>
      </w:r>
    </w:p>
    <w:p>
      <w:pPr>
        <w:autoSpaceDN w:val="0"/>
        <w:autoSpaceDE w:val="0"/>
        <w:widowControl/>
        <w:spacing w:line="197" w:lineRule="auto" w:before="304" w:after="0"/>
        <w:ind w:left="0" w:right="40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8"/>
        <w:ind w:left="21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24,38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5,87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14,02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21,01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23,07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2"/>
        </w:trPr>
        <w:tc>
          <w:tcPr>
            <w:tcW w:type="dxa" w:w="3118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48,75 </w:t>
            </w:r>
          </w:p>
        </w:tc>
      </w:tr>
      <w:tr>
        <w:trPr>
          <w:trHeight w:hRule="exact" w:val="346"/>
        </w:trPr>
        <w:tc>
          <w:tcPr>
            <w:tcW w:type="dxa" w:w="31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14,02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21,01 </w:t>
            </w:r>
          </w:p>
        </w:tc>
      </w:tr>
      <w:tr>
        <w:trPr>
          <w:trHeight w:hRule="exact" w:val="348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23,07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48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60,52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114,99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16,70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26,70 </w:t>
            </w:r>
          </w:p>
        </w:tc>
      </w:tr>
      <w:tr>
        <w:trPr>
          <w:trHeight w:hRule="exact" w:val="348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39,82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1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544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60,52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114,99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16,70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14,05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12,65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26,70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39,82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43,00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01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544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0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4" w:val="left"/>
          <w:tab w:pos="2682" w:val="left"/>
        </w:tabs>
        <w:autoSpaceDE w:val="0"/>
        <w:widowControl/>
        <w:spacing w:line="245" w:lineRule="auto" w:before="4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R$ 25,66)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R$ 25,66 </w:t>
      </w:r>
    </w:p>
    <w:p>
      <w:pPr>
        <w:autoSpaceDN w:val="0"/>
        <w:autoSpaceDE w:val="0"/>
        <w:widowControl/>
        <w:spacing w:line="245" w:lineRule="auto" w:before="346" w:after="0"/>
        <w:ind w:left="568" w:right="4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R$ 25,66) + (2ª Faixa = 8 m³ x R$ 4,13 = R$ 33,04)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(R$ 25,66 + R$ 33,04)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R$ 58,70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R$ 23,09)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R$ 23,09 </w:t>
      </w:r>
    </w:p>
    <w:p>
      <w:pPr>
        <w:autoSpaceDN w:val="0"/>
        <w:autoSpaceDE w:val="0"/>
        <w:widowControl/>
        <w:spacing w:line="245" w:lineRule="auto" w:before="348" w:after="0"/>
        <w:ind w:left="568" w:right="2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R$ 23,09) + (2ª Faixa = 8 m³ x R$ 3,72 = R$ 29,76)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(R$ 23,09 + R$ 29,76)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R$ 52,85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R$ 25,66) + (Tarifa de Esgoto = R$ 23,09)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(R$ 25,66 + R$ 23,09)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R$ 48,75 </w:t>
      </w:r>
    </w:p>
    <w:p>
      <w:pPr>
        <w:autoSpaceDN w:val="0"/>
        <w:autoSpaceDE w:val="0"/>
        <w:widowControl/>
        <w:spacing w:line="245" w:lineRule="auto" w:before="348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R$ 58,70) + (Tarifa de Esgoto = R$ 52,85)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(R$ 58,70 + 52,85)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R$ 111,55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1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544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544, DE 26 DE JANEIRO DE 2024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– Caminhão Pipa (8 mil litros)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77,74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1.146,11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1.211,62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1.419,92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Paralelepípedo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1.146,11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Paralelepípedo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1.211,62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Paralelepípedo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1.419,92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calçada/terra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491,75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calçada/terra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557,26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calçada/terra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765,56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30,71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68,49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Simples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190,28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342,32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38,57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na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175,78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399,24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a pedido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 corte no fornecimento a pedido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de serviços não tarifados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18,78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da conta de 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1,16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66,24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por U.C.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29,45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por U.C.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66,24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66,24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alternativa de correspondência simples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275,30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890" w:after="0"/>
        <w:ind w:left="7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xxx – 26/01/2024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82" w:right="1106" w:bottom="548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