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550, DE 26 DE MARÇO DE 2024 </w:t>
      </w:r>
    </w:p>
    <w:p>
      <w:pPr>
        <w:autoSpaceDN w:val="0"/>
        <w:autoSpaceDE w:val="0"/>
        <w:widowControl/>
        <w:spacing w:line="197" w:lineRule="auto" w:before="638" w:after="28"/>
        <w:ind w:left="0" w:right="136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Institui a Agenda Regulatória - Biênio 2024-2025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Agência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Reguladora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das Bacias dos Rios Piracicaba,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Capivari e Jundiaí (Agência Reguladora ARES-PCJ),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</w:t>
      </w:r>
      <w:r>
        <w:rPr>
          <w:rFonts w:ascii="Calibri" w:hAnsi="Calibri" w:eastAsia="Calibri"/>
          <w:b/>
          <w:i w:val="0"/>
          <w:color w:val="000000"/>
          <w:sz w:val="24"/>
        </w:rPr>
        <w:t>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XIV,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ARES-PCJ, convertido em Contrato de Consórcio Público, e o Artigo 29, inciso XV,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 é consórcio público, com personalidade jurídica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público, na forma de associação pública e com natureza autárquica, integrante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indireta de todos os municípios consorciados, e criada para atender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da Lei federal nº 11.445/2007 (Diretrizes Nacionais para o Saneamento Básico);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26 da Lei federal nº 11.445/2007 preconiza que deverá ser assegurada publicidade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relatórios, estudos, decisões e instrumentos equivalentes que se refiram à regulação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19, inc. IV, da Norma de Referência nº 04/2024 da Agência Nacional de Águas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(ANA) prevê que, para promoção da transparência da atuação regulatória,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entidades reguladoras infranacionais devem dar publicidade, dentre outros,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regulatórios e de planejamento, incluindo a Agenda Regulatória;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Agenda Regulatória é importante instrumento de promoção da qualidade regulatória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em que proporciona transparência e previsibilidade ao processo de elaboração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 regulamentos por parte das entidades reguladoras;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Consulta Pública nº 04/2023 no período de 13 de dezembro de 2023 a 03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2024 visando colher contribuições, dirimir dúvidas e apresentação de sugestões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à proposta de Agenda Regulatória - Biênio 2024-2025,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transparência 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a Diretoria Executiva da ARES-PCJ, reunida em 25 de março de 2024, </w:t>
      </w:r>
    </w:p>
    <w:p>
      <w:pPr>
        <w:autoSpaceDN w:val="0"/>
        <w:autoSpaceDE w:val="0"/>
        <w:widowControl/>
        <w:spacing w:line="194" w:lineRule="auto" w:before="9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550 – 26/03/2024                                                                                                                         1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Aprovar e instituir, na forma apresentada no Anexo desta resolução, a Agenda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 - Biênio 2024-2025 da Agência Reguladora dos Serviços de Saneamento das Bacias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Rios Piracicaba, Capivari e Jundiaí (Agência Reguladora ARES-PCJ).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prazos e cronogramas dispostos na Agenda Regulatória - Biênio 2024-2025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configuram previsão, estando sujeitos à alteração em virtude das necessidades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específicas de cada projeto proposto, ou para preservação do ritmo adequado de elaboração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participação em relação ao conjunto de projetos.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Agenda Regulatória - Biênio 2024-2025 da ARES-PCJ deverá passar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de revisão ao longo do primeiro bimestre de 2025, quando serão avaliados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andamento dos projetos propostos e a necessidade de aprimoramentos.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Excepcionalmente, a Agenda Regulatória - Biênio 2024-2025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modificada fora do período de revisão para inclusão e exclusão de projetos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de escopo, mediante apresentação de motivos junto a cada nova versão publicada.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Ficam alterados o § 2º do Art. 18 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§§ 1º e 2º do Art. 37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435, de 01 de junho de 2022, que passam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0" w:right="142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“Art.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0" w:right="840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312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A manifestação contrária ao processo de Reajuste Tarifário iniciado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resultará na perda da data base de abertura do Ciclo Tarifário, ficando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prejudicada nova solicitação posterior, hipótese em que o prestador estará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sujeito à programação da Coordenadoria de Contabilidade Regulatória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para o início de um novo Ciclo Tarifário. </w:t>
      </w:r>
    </w:p>
    <w:p>
      <w:pPr>
        <w:autoSpaceDN w:val="0"/>
        <w:autoSpaceDE w:val="0"/>
        <w:widowControl/>
        <w:spacing w:line="197" w:lineRule="auto" w:before="346" w:after="0"/>
        <w:ind w:left="0" w:right="840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6" w:after="0"/>
        <w:ind w:left="312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37. A presente Resolução aplica-se aos processos de Revisão e Reajuste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Tarifários em conformidade à programação da Coordenadoria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Contabilidade Regulatória da ARES-PCJ para estabelecimento dos ciclos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tarifários dos prestadores de serviços abrangidos por essa norma. </w:t>
      </w:r>
    </w:p>
    <w:p>
      <w:pPr>
        <w:autoSpaceDN w:val="0"/>
        <w:autoSpaceDE w:val="0"/>
        <w:widowControl/>
        <w:spacing w:line="245" w:lineRule="auto" w:before="346" w:after="0"/>
        <w:ind w:left="312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Aos prestadores cujo Ciclo Tarifário estabelecido pela programação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Coordenadoria de Contabilidade Regulatória tenha início em prazo superior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12 (doze) meses da entrada e vigor desta Resolução, aplicar-se-á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transitoriamente o disposto na Resolução ARES-PCJ nº 115/2015. </w:t>
      </w:r>
    </w:p>
    <w:p>
      <w:pPr>
        <w:autoSpaceDN w:val="0"/>
        <w:autoSpaceDE w:val="0"/>
        <w:widowControl/>
        <w:spacing w:line="245" w:lineRule="auto" w:before="346" w:after="0"/>
        <w:ind w:left="3024" w:right="136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Após o início do Ciclo Tarifário de todos os prestadores de serviços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conformidade com esta Resolução e com a programação da Coordenadoria </w:t>
      </w:r>
    </w:p>
    <w:p>
      <w:pPr>
        <w:autoSpaceDN w:val="0"/>
        <w:autoSpaceDE w:val="0"/>
        <w:widowControl/>
        <w:spacing w:line="194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550 – 26/03/2024                                                                                                                         2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2373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3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8" w:after="0"/>
        <w:ind w:left="3120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Contabilidade Regulatória, ficará revogada 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115/2015.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de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autoSpaceDE w:val="0"/>
        <w:widowControl/>
        <w:spacing w:line="194" w:lineRule="auto" w:before="109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550 – 26/03/2024                                                                                                                         3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-44450</wp:posOffset>
            </wp:positionV>
            <wp:extent cx="1535430" cy="18148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8148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2067560</wp:posOffset>
            </wp:positionH>
            <wp:positionV relativeFrom="page">
              <wp:posOffset>2658110</wp:posOffset>
            </wp:positionV>
            <wp:extent cx="7821930" cy="23999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21930" cy="2399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18" w:val="left"/>
          <w:tab w:pos="8734" w:val="left"/>
        </w:tabs>
        <w:autoSpaceDE w:val="0"/>
        <w:widowControl/>
        <w:spacing w:line="245" w:lineRule="auto" w:before="426" w:after="0"/>
        <w:ind w:left="3484" w:right="360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132"/>
        </w:rPr>
        <w:t xml:space="preserve">AGENDA </w:t>
      </w:r>
      <w:r>
        <w:br/>
      </w:r>
      <w:r>
        <w:tab/>
      </w:r>
      <w:r>
        <w:rPr>
          <w:rFonts w:ascii="Bahnschrift" w:hAnsi="Bahnschrift" w:eastAsia="Bahnschrift"/>
          <w:b/>
          <w:i w:val="0"/>
          <w:color w:val="ED7D31"/>
          <w:sz w:val="132"/>
        </w:rPr>
        <w:t xml:space="preserve">REGULATÓRIA </w:t>
      </w:r>
      <w:r>
        <w:tab/>
      </w:r>
      <w:r>
        <w:tab/>
      </w:r>
      <w:r>
        <w:rPr>
          <w:rFonts w:ascii="Bahnschrift" w:hAnsi="Bahnschrift" w:eastAsia="Bahnschrift"/>
          <w:b/>
          <w:i w:val="0"/>
          <w:color w:val="0070C0"/>
          <w:sz w:val="96"/>
        </w:rPr>
        <w:t>2024 - 2025</w:t>
      </w:r>
    </w:p>
    <w:p>
      <w:pPr>
        <w:autoSpaceDN w:val="0"/>
        <w:autoSpaceDE w:val="0"/>
        <w:widowControl/>
        <w:spacing w:line="240" w:lineRule="auto" w:before="778" w:after="0"/>
        <w:ind w:left="0" w:right="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1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19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3"/>
        <w:gridCol w:w="5523"/>
        <w:gridCol w:w="5523"/>
      </w:tblGrid>
      <w:tr>
        <w:trPr>
          <w:trHeight w:hRule="exact" w:val="1644"/>
        </w:trPr>
        <w:tc>
          <w:tcPr>
            <w:tcW w:type="dxa" w:w="14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32" w:after="0"/>
              <w:ind w:left="16" w:right="0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64"/>
              </w:rPr>
              <w:t xml:space="preserve">Sumário </w:t>
            </w:r>
            <w:r>
              <w:rPr>
                <w:rFonts w:ascii="Bahnschrift" w:hAnsi="Bahnschrift" w:eastAsia="Bahnschrift"/>
                <w:b/>
                <w:i w:val="0"/>
                <w:color w:val="ED7D31"/>
                <w:sz w:val="64"/>
              </w:rPr>
              <w:t>descritivo</w:t>
            </w:r>
          </w:p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755650</wp:posOffset>
                  </wp:positionH>
                  <wp:positionV relativeFrom="page">
                    <wp:posOffset>784860</wp:posOffset>
                  </wp:positionV>
                  <wp:extent cx="8204200" cy="12065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4200" cy="120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42"/>
            <w:vMerge w:val="restart"/>
            <w:tcBorders>
              <w:bottom w:sz="12.0" w:val="single" w:color="#EC7C3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10601960</wp:posOffset>
                  </wp:positionH>
                  <wp:positionV relativeFrom="page">
                    <wp:posOffset>-40640</wp:posOffset>
                  </wp:positionV>
                  <wp:extent cx="1643380" cy="181482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8148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90"/>
        </w:trPr>
        <w:tc>
          <w:tcPr>
            <w:tcW w:type="dxa" w:w="8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150" w:right="0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28"/>
              </w:rPr>
              <w:t>Apresentação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4" w:after="0"/>
              <w:ind w:left="0" w:right="1532" w:firstLine="0"/>
              <w:jc w:val="righ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8"/>
              </w:rPr>
              <w:t>1</w:t>
            </w:r>
          </w:p>
        </w:tc>
        <w:tc>
          <w:tcPr>
            <w:tcW w:type="dxa" w:w="5523"/>
            <w:vMerge/>
            <w:tcBorders>
              <w:bottom w:sz="12.0" w:val="single" w:color="#EC7C30"/>
            </w:tcBorders>
          </w:tcPr>
          <w:p/>
        </w:tc>
      </w:tr>
      <w:tr>
        <w:trPr>
          <w:trHeight w:hRule="exact" w:val="608"/>
        </w:trPr>
        <w:tc>
          <w:tcPr>
            <w:tcW w:type="dxa" w:w="8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8" w:after="0"/>
              <w:ind w:left="150" w:right="0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28"/>
              </w:rPr>
              <w:t>Atividades do Processo Normativo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8" w:after="0"/>
              <w:ind w:left="0" w:right="1532" w:firstLine="0"/>
              <w:jc w:val="righ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8"/>
              </w:rPr>
              <w:t>2</w:t>
            </w:r>
          </w:p>
        </w:tc>
        <w:tc>
          <w:tcPr>
            <w:tcW w:type="dxa" w:w="3842"/>
            <w:tcBorders>
              <w:top w:sz="12.0" w:val="single" w:color="#EC7C3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"/>
        </w:trPr>
        <w:tc>
          <w:tcPr>
            <w:tcW w:type="dxa" w:w="180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2528" w:val="left"/>
        </w:tabs>
        <w:autoSpaceDE w:val="0"/>
        <w:widowControl/>
        <w:spacing w:line="259" w:lineRule="auto" w:before="252" w:after="0"/>
        <w:ind w:left="150" w:right="5328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 xml:space="preserve">Gestão do Estoque Regulatório </w:t>
      </w:r>
      <w:r>
        <w:br/>
      </w:r>
      <w:r>
        <w:rPr>
          <w:rFonts w:ascii="Bahnschrift" w:hAnsi="Bahnschrift" w:eastAsia="Bahnschrift"/>
          <w:b w:val="0"/>
          <w:i w:val="0"/>
          <w:color w:val="0070C0"/>
          <w:sz w:val="22"/>
        </w:rPr>
        <w:t xml:space="preserve">Avaliação da adequação e efetividade dos atos normativos já publicados, por meio de sua organização, </w:t>
      </w:r>
      <w:r>
        <w:tab/>
      </w:r>
      <w:r>
        <w:rPr>
          <w:rFonts w:ascii="Bahnschrift" w:hAnsi="Bahnschrift" w:eastAsia="Bahnschrift"/>
          <w:b w:val="0"/>
          <w:i w:val="0"/>
          <w:color w:val="0070C0"/>
          <w:sz w:val="28"/>
        </w:rPr>
        <w:t xml:space="preserve">3 </w:t>
      </w:r>
      <w:r>
        <w:rPr>
          <w:rFonts w:ascii="Bahnschrift" w:hAnsi="Bahnschrift" w:eastAsia="Bahnschrift"/>
          <w:b w:val="0"/>
          <w:i w:val="0"/>
          <w:color w:val="0070C0"/>
          <w:sz w:val="22"/>
        </w:rPr>
        <w:t>acompanhamento, revisão, aprimoramento ou extinção</w:t>
      </w:r>
    </w:p>
    <w:p>
      <w:pPr>
        <w:autoSpaceDN w:val="0"/>
        <w:tabs>
          <w:tab w:pos="12524" w:val="left"/>
        </w:tabs>
        <w:autoSpaceDE w:val="0"/>
        <w:widowControl/>
        <w:spacing w:line="259" w:lineRule="auto" w:before="462" w:after="0"/>
        <w:ind w:left="150" w:right="5328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 xml:space="preserve">Normas de Referência da ANA (Agência Nacional de Águas e Saneamento Básico) </w:t>
      </w:r>
      <w:r>
        <w:br/>
      </w:r>
      <w:r>
        <w:rPr>
          <w:rFonts w:ascii="Bahnschrift" w:hAnsi="Bahnschrift" w:eastAsia="Bahnschrift"/>
          <w:b w:val="0"/>
          <w:i w:val="0"/>
          <w:color w:val="0070C0"/>
          <w:sz w:val="22"/>
        </w:rPr>
        <w:t xml:space="preserve">Diretrizes emitidas pela ANA devem ser incorporadas ao estoque regulatório das Entidades Reguladoras </w:t>
      </w:r>
      <w:r>
        <w:tab/>
      </w:r>
      <w:r>
        <w:rPr>
          <w:rFonts w:ascii="Bahnschrift" w:hAnsi="Bahnschrift" w:eastAsia="Bahnschrift"/>
          <w:b w:val="0"/>
          <w:i w:val="0"/>
          <w:color w:val="0070C0"/>
          <w:sz w:val="28"/>
        </w:rPr>
        <w:t xml:space="preserve">5 </w:t>
      </w:r>
      <w:r>
        <w:rPr>
          <w:rFonts w:ascii="Bahnschrift" w:hAnsi="Bahnschrift" w:eastAsia="Bahnschrift"/>
          <w:b w:val="0"/>
          <w:i w:val="0"/>
          <w:color w:val="0070C0"/>
          <w:sz w:val="22"/>
        </w:rPr>
        <w:t>Infranacionais (ERIs), incidindo sobre a previsão normativa da Agência</w:t>
      </w:r>
    </w:p>
    <w:p>
      <w:pPr>
        <w:autoSpaceDN w:val="0"/>
        <w:tabs>
          <w:tab w:pos="12534" w:val="left"/>
        </w:tabs>
        <w:autoSpaceDE w:val="0"/>
        <w:widowControl/>
        <w:spacing w:line="259" w:lineRule="auto" w:before="462" w:after="0"/>
        <w:ind w:left="150" w:right="5328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 xml:space="preserve">Normatização </w:t>
      </w:r>
      <w:r>
        <w:br/>
      </w:r>
      <w:r>
        <w:rPr>
          <w:rFonts w:ascii="Bahnschrift" w:hAnsi="Bahnschrift" w:eastAsia="Bahnschrift"/>
          <w:b w:val="0"/>
          <w:i w:val="0"/>
          <w:color w:val="0070C0"/>
          <w:sz w:val="22"/>
        </w:rPr>
        <w:t xml:space="preserve">Formulação ou consolidação de políticas regulatórias por meio de novos atos normativos, compreendendo </w:t>
      </w:r>
      <w:r>
        <w:tab/>
      </w:r>
      <w:r>
        <w:rPr>
          <w:rFonts w:ascii="Bahnschrift" w:hAnsi="Bahnschrift" w:eastAsia="Bahnschrift"/>
          <w:b w:val="0"/>
          <w:i w:val="0"/>
          <w:color w:val="0070C0"/>
          <w:sz w:val="28"/>
        </w:rPr>
        <w:t xml:space="preserve">6 </w:t>
      </w:r>
      <w:r>
        <w:rPr>
          <w:rFonts w:ascii="Bahnschrift" w:hAnsi="Bahnschrift" w:eastAsia="Bahnschrift"/>
          <w:b w:val="0"/>
          <w:i w:val="0"/>
          <w:color w:val="0070C0"/>
          <w:sz w:val="22"/>
        </w:rPr>
        <w:t>estudos, avaliação de impacto, participação dos atores envolvidos e controle social</w:t>
      </w:r>
    </w:p>
    <w:p>
      <w:pPr>
        <w:autoSpaceDN w:val="0"/>
        <w:autoSpaceDE w:val="0"/>
        <w:widowControl/>
        <w:spacing w:line="199" w:lineRule="auto" w:before="462" w:after="26"/>
        <w:ind w:left="150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>Regulamentos e Procedimentos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523"/>
        <w:gridCol w:w="5523"/>
        <w:gridCol w:w="5523"/>
      </w:tblGrid>
      <w:tr>
        <w:trPr>
          <w:trHeight w:hRule="exact" w:val="444"/>
        </w:trPr>
        <w:tc>
          <w:tcPr>
            <w:tcW w:type="dxa" w:w="1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4" w:after="0"/>
              <w:ind w:left="124" w:right="0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2"/>
              </w:rPr>
              <w:t xml:space="preserve">Elaboração de documentação técnica de uniformização e suporte à aplicação dos atos normativos e à </w:t>
            </w:r>
          </w:p>
        </w:tc>
        <w:tc>
          <w:tcPr>
            <w:tcW w:type="dxa" w:w="1150"/>
            <w:vMerge w:val="restart"/>
            <w:tcBorders>
              <w:bottom w:sz="12.0" w:val="single" w:color="#EC7C3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24" w:firstLine="0"/>
              <w:jc w:val="righ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8"/>
              </w:rPr>
              <w:t>8</w:t>
            </w:r>
          </w:p>
        </w:tc>
        <w:tc>
          <w:tcPr>
            <w:tcW w:type="dxa" w:w="5252"/>
            <w:vMerge w:val="restart"/>
            <w:tcBorders>
              <w:bottom w:sz="12.0" w:val="single" w:color="#EC7C3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1624"/>
            <w:tcBorders>
              <w:bottom w:sz="12.0" w:val="single" w:color="#EC7C3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124" w:right="0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2"/>
              </w:rPr>
              <w:t>atividade regulatória em geral</w:t>
            </w:r>
          </w:p>
        </w:tc>
        <w:tc>
          <w:tcPr>
            <w:tcW w:type="dxa" w:w="5523"/>
            <w:vMerge/>
            <w:tcBorders>
              <w:bottom w:sz="12.0" w:val="single" w:color="#EC7C30"/>
            </w:tcBorders>
          </w:tcPr>
          <w:p/>
        </w:tc>
        <w:tc>
          <w:tcPr>
            <w:tcW w:type="dxa" w:w="5523"/>
            <w:vMerge/>
            <w:tcBorders>
              <w:bottom w:sz="12.0" w:val="single" w:color="#EC7C30"/>
            </w:tcBorders>
          </w:tcPr>
          <w:p/>
        </w:tc>
      </w:tr>
      <w:tr>
        <w:trPr>
          <w:trHeight w:hRule="exact" w:val="632"/>
        </w:trPr>
        <w:tc>
          <w:tcPr>
            <w:tcW w:type="dxa" w:w="11624"/>
            <w:tcBorders>
              <w:top w:sz="12.0" w:val="single" w:color="#EC7C3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2" w:after="0"/>
              <w:ind w:left="124" w:right="0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28"/>
              </w:rPr>
              <w:t>Estudos e Publicações</w:t>
            </w:r>
          </w:p>
        </w:tc>
        <w:tc>
          <w:tcPr>
            <w:tcW w:type="dxa" w:w="1150"/>
            <w:vMerge w:val="restart"/>
            <w:tcBorders>
              <w:top w:sz="12.0" w:val="single" w:color="#EC7C3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8" w:after="0"/>
              <w:ind w:left="0" w:right="122" w:firstLine="0"/>
              <w:jc w:val="righ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8"/>
              </w:rPr>
              <w:t>9</w:t>
            </w:r>
          </w:p>
        </w:tc>
        <w:tc>
          <w:tcPr>
            <w:tcW w:type="dxa" w:w="5252"/>
            <w:vMerge w:val="restart"/>
            <w:tcBorders>
              <w:top w:sz="12.0" w:val="single" w:color="#EC7C3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34" w:after="0"/>
              <w:ind w:left="124" w:right="0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2"/>
              </w:rPr>
              <w:t xml:space="preserve">Elaboração de materiais analíticos com objetivo de sistematizar e difundir as informações e conhecimentos </w:t>
            </w:r>
          </w:p>
        </w:tc>
        <w:tc>
          <w:tcPr>
            <w:tcW w:type="dxa" w:w="5523"/>
            <w:vMerge/>
            <w:tcBorders>
              <w:top w:sz="12.0" w:val="single" w:color="#EC7C30"/>
            </w:tcBorders>
          </w:tcPr>
          <w:p/>
        </w:tc>
        <w:tc>
          <w:tcPr>
            <w:tcW w:type="dxa" w:w="5523"/>
            <w:vMerge/>
            <w:tcBorders>
              <w:top w:sz="12.0" w:val="single" w:color="#EC7C30"/>
            </w:tcBorders>
          </w:tcPr>
          <w:p/>
        </w:tc>
      </w:tr>
      <w:tr>
        <w:trPr>
          <w:trHeight w:hRule="exact" w:val="904"/>
        </w:trPr>
        <w:tc>
          <w:tcPr>
            <w:tcW w:type="dxa" w:w="1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124" w:right="0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70C0"/>
                <w:sz w:val="22"/>
              </w:rPr>
              <w:t>relevantes acumulados pela atividade regulatória</w:t>
            </w:r>
          </w:p>
        </w:tc>
        <w:tc>
          <w:tcPr>
            <w:tcW w:type="dxa" w:w="5523"/>
            <w:vMerge/>
            <w:tcBorders>
              <w:top w:sz="12.0" w:val="single" w:color="#EC7C30"/>
            </w:tcBorders>
          </w:tcPr>
          <w:p/>
        </w:tc>
        <w:tc>
          <w:tcPr>
            <w:tcW w:type="dxa" w:w="5523"/>
            <w:vMerge/>
            <w:tcBorders>
              <w:top w:sz="12.0" w:val="single" w:color="#EC7C3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119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6.0" w:type="dxa"/>
      </w:tblPr>
      <w:tblGrid>
        <w:gridCol w:w="8556"/>
        <w:gridCol w:w="8556"/>
      </w:tblGrid>
      <w:tr>
        <w:trPr>
          <w:trHeight w:hRule="exact" w:val="2948"/>
        </w:trPr>
        <w:tc>
          <w:tcPr>
            <w:tcW w:type="dxa" w:w="2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-58419</wp:posOffset>
                  </wp:positionH>
                  <wp:positionV relativeFrom="page">
                    <wp:posOffset>-40640</wp:posOffset>
                  </wp:positionV>
                  <wp:extent cx="1309370" cy="1814829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18148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8" w:after="0"/>
              <w:ind w:left="154" w:right="5328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64"/>
              </w:rPr>
              <w:t xml:space="preserve">Agenda Regulatória: </w:t>
            </w:r>
            <w:r>
              <w:br/>
            </w:r>
            <w:r>
              <w:rPr>
                <w:rFonts w:ascii="Bahnschrift" w:hAnsi="Bahnschrift" w:eastAsia="Bahnschrift"/>
                <w:b/>
                <w:i w:val="0"/>
                <w:color w:val="ED7D31"/>
                <w:sz w:val="64"/>
              </w:rPr>
              <w:t>ferramenta de qualidade da regulação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1330960</wp:posOffset>
                  </wp:positionH>
                  <wp:positionV relativeFrom="page">
                    <wp:posOffset>1203960</wp:posOffset>
                  </wp:positionV>
                  <wp:extent cx="10411460" cy="12065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1460" cy="120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199" w:lineRule="auto" w:before="446" w:after="0"/>
              <w:ind w:left="154" w:right="0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32"/>
              </w:rPr>
              <w:t xml:space="preserve">A busca por avanços nas políticas públicas de saneamento básico envolve a melhoria contínua da atividade </w:t>
            </w:r>
          </w:p>
        </w:tc>
      </w:tr>
    </w:tbl>
    <w:p>
      <w:pPr>
        <w:autoSpaceDN w:val="0"/>
        <w:autoSpaceDE w:val="0"/>
        <w:widowControl/>
        <w:spacing w:line="202" w:lineRule="auto" w:before="34" w:after="0"/>
        <w:ind w:left="2174" w:right="0" w:firstLine="0"/>
        <w:jc w:val="left"/>
      </w:pPr>
      <w:r>
        <w:rPr>
          <w:rFonts w:ascii="Bahnschrift" w:hAnsi="Bahnschrift" w:eastAsia="Bahnschrift"/>
          <w:b w:val="0"/>
          <w:i w:val="0"/>
          <w:color w:val="000000"/>
          <w:sz w:val="32"/>
        </w:rPr>
        <w:t>regulatória.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5119370</wp:posOffset>
            </wp:positionV>
            <wp:extent cx="1309370" cy="179129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7912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2174" w:right="20" w:firstLine="0"/>
        <w:jc w:val="both"/>
      </w:pPr>
      <w:r>
        <w:rPr>
          <w:rFonts w:ascii="Bahnschrift" w:hAnsi="Bahnschrift" w:eastAsia="Bahnschrift"/>
          <w:b w:val="0"/>
          <w:i w:val="0"/>
          <w:color w:val="000000"/>
          <w:sz w:val="32"/>
        </w:rPr>
        <w:t xml:space="preserve">Nesse sentido, o setor tem observado importantes transformações, dentre elas a perspectiva de uniformidade da </w:t>
      </w:r>
      <w:r>
        <w:rPr>
          <w:rFonts w:ascii="Bahnschrift" w:hAnsi="Bahnschrift" w:eastAsia="Bahnschrift"/>
          <w:b w:val="0"/>
          <w:i w:val="0"/>
          <w:color w:val="000000"/>
          <w:sz w:val="32"/>
        </w:rPr>
        <w:t xml:space="preserve">regulação e busca ativa das entidades reguladoras infranacionais pelos mais altos padrões de qualidade </w:t>
      </w:r>
      <w:r>
        <w:rPr>
          <w:rFonts w:ascii="Bahnschrift" w:hAnsi="Bahnschrift" w:eastAsia="Bahnschrift"/>
          <w:b w:val="0"/>
          <w:i w:val="0"/>
          <w:color w:val="000000"/>
          <w:sz w:val="32"/>
        </w:rPr>
        <w:t>regulatória.</w:t>
      </w:r>
    </w:p>
    <w:p>
      <w:pPr>
        <w:autoSpaceDN w:val="0"/>
        <w:autoSpaceDE w:val="0"/>
        <w:widowControl/>
        <w:spacing w:line="245" w:lineRule="auto" w:before="448" w:after="0"/>
        <w:ind w:left="2174" w:right="20" w:firstLine="0"/>
        <w:jc w:val="both"/>
      </w:pPr>
      <w:r>
        <w:rPr>
          <w:rFonts w:ascii="Bahnschrift" w:hAnsi="Bahnschrift" w:eastAsia="Bahnschrift"/>
          <w:b w:val="0"/>
          <w:i w:val="0"/>
          <w:color w:val="000000"/>
          <w:sz w:val="32"/>
        </w:rPr>
        <w:t xml:space="preserve">A qualidade regulatória é o conjunto de práticas que objetiva maior coerência e efetividade à formulação e </w:t>
      </w:r>
      <w:r>
        <w:rPr>
          <w:rFonts w:ascii="Bahnschrift" w:hAnsi="Bahnschrift" w:eastAsia="Bahnschrift"/>
          <w:b w:val="0"/>
          <w:i w:val="0"/>
          <w:color w:val="000000"/>
          <w:sz w:val="32"/>
        </w:rPr>
        <w:t xml:space="preserve">aplicação de normas, sendo a Agenda Regulatória uma de suas ferramentas mais importantes, ao proporcionar </w:t>
      </w:r>
      <w:r>
        <w:rPr>
          <w:rFonts w:ascii="Bahnschrift" w:hAnsi="Bahnschrift" w:eastAsia="Bahnschrift"/>
          <w:b w:val="0"/>
          <w:i w:val="0"/>
          <w:color w:val="000000"/>
          <w:sz w:val="32"/>
        </w:rPr>
        <w:t>visibilidade e previsibilidade a esse processo.</w:t>
      </w:r>
    </w:p>
    <w:p>
      <w:pPr>
        <w:autoSpaceDN w:val="0"/>
        <w:autoSpaceDE w:val="0"/>
        <w:widowControl/>
        <w:spacing w:line="245" w:lineRule="auto" w:before="448" w:after="0"/>
        <w:ind w:left="2174" w:right="0" w:firstLine="0"/>
        <w:jc w:val="left"/>
      </w:pPr>
      <w:r>
        <w:rPr>
          <w:rFonts w:ascii="Bahnschrift" w:hAnsi="Bahnschrift" w:eastAsia="Bahnschrift"/>
          <w:b w:val="0"/>
          <w:i w:val="0"/>
          <w:color w:val="000000"/>
          <w:sz w:val="32"/>
        </w:rPr>
        <w:t xml:space="preserve">Apresentamos assim a Agenda Regulatória da ARES-PCJ para o biênio 2024-2025, buscando conectar os </w:t>
      </w:r>
      <w:r>
        <w:rPr>
          <w:rFonts w:ascii="Bahnschrift" w:hAnsi="Bahnschrift" w:eastAsia="Bahnschrift"/>
          <w:b w:val="0"/>
          <w:i w:val="0"/>
          <w:color w:val="000000"/>
          <w:sz w:val="32"/>
        </w:rPr>
        <w:t>desafios específicos de nossa atuação às melhores práticas em normatização observadas no país.</w:t>
      </w:r>
    </w:p>
    <w:p>
      <w:pPr>
        <w:autoSpaceDN w:val="0"/>
        <w:autoSpaceDE w:val="0"/>
        <w:widowControl/>
        <w:spacing w:line="202" w:lineRule="auto" w:before="448" w:after="0"/>
        <w:ind w:left="2174" w:right="0" w:firstLine="0"/>
        <w:jc w:val="left"/>
      </w:pPr>
      <w:r>
        <w:rPr>
          <w:rFonts w:ascii="Bahnschrift" w:hAnsi="Bahnschrift" w:eastAsia="Bahnschrift"/>
          <w:b w:val="0"/>
          <w:i w:val="0"/>
          <w:color w:val="000000"/>
          <w:sz w:val="32"/>
        </w:rPr>
        <w:t>Boa leitura!</w:t>
      </w:r>
    </w:p>
    <w:p>
      <w:pPr>
        <w:autoSpaceDN w:val="0"/>
        <w:autoSpaceDE w:val="0"/>
        <w:widowControl/>
        <w:spacing w:line="245" w:lineRule="auto" w:before="448" w:after="0"/>
        <w:ind w:left="2174" w:right="12384" w:firstLine="0"/>
        <w:jc w:val="left"/>
      </w:pPr>
      <w:r>
        <w:rPr>
          <w:rFonts w:ascii="Bahnschrift" w:hAnsi="Bahnschrift" w:eastAsia="Bahnschrift"/>
          <w:b/>
          <w:i w:val="0"/>
          <w:color w:val="000000"/>
          <w:sz w:val="32"/>
        </w:rPr>
        <w:t xml:space="preserve">Dalto Favero Brochi </w:t>
      </w:r>
      <w:r>
        <w:br/>
      </w:r>
      <w:r>
        <w:rPr>
          <w:rFonts w:ascii="Bahnschrift" w:hAnsi="Bahnschrift" w:eastAsia="Bahnschrift"/>
          <w:b w:val="0"/>
          <w:i w:val="0"/>
          <w:color w:val="000000"/>
          <w:sz w:val="32"/>
        </w:rPr>
        <w:t>Diretor Geral da ARES-PCJ</w:t>
      </w:r>
    </w:p>
    <w:p>
      <w:pPr>
        <w:autoSpaceDN w:val="0"/>
        <w:autoSpaceDE w:val="0"/>
        <w:widowControl/>
        <w:spacing w:line="202" w:lineRule="auto" w:before="182" w:after="0"/>
        <w:ind w:left="704" w:right="0" w:firstLine="0"/>
        <w:jc w:val="left"/>
      </w:pPr>
      <w:r>
        <w:rPr>
          <w:rFonts w:ascii="Bahnschrift" w:hAnsi="Bahnschrift" w:eastAsia="Bahnschrift"/>
          <w:b/>
          <w:i w:val="0"/>
          <w:color w:val="FFFFFF"/>
          <w:sz w:val="40"/>
        </w:rPr>
        <w:t>1</w:t>
      </w:r>
    </w:p>
    <w:p>
      <w:pPr>
        <w:sectPr>
          <w:pgSz w:w="19200" w:h="10800"/>
          <w:pgMar w:top="0" w:right="648" w:bottom="41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6.0" w:type="dxa"/>
      </w:tblPr>
      <w:tblGrid>
        <w:gridCol w:w="5625"/>
        <w:gridCol w:w="5625"/>
        <w:gridCol w:w="5625"/>
      </w:tblGrid>
      <w:tr>
        <w:trPr>
          <w:trHeight w:hRule="exact" w:val="1224"/>
        </w:trPr>
        <w:tc>
          <w:tcPr>
            <w:tcW w:type="dxa" w:w="25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-58419</wp:posOffset>
                  </wp:positionH>
                  <wp:positionV relativeFrom="page">
                    <wp:posOffset>-40640</wp:posOffset>
                  </wp:positionV>
                  <wp:extent cx="1527810" cy="181482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18148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8" w:after="0"/>
              <w:ind w:left="208" w:right="0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64"/>
              </w:rPr>
              <w:t xml:space="preserve">Atividades do </w:t>
            </w:r>
            <w:r>
              <w:rPr>
                <w:rFonts w:ascii="Bahnschrift" w:hAnsi="Bahnschrift" w:eastAsia="Bahnschrift"/>
                <w:b/>
                <w:i w:val="0"/>
                <w:color w:val="ED7D31"/>
                <w:sz w:val="64"/>
              </w:rPr>
              <w:t>Processo Normativo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622" w:after="0"/>
              <w:ind w:left="0" w:right="4" w:firstLine="0"/>
              <w:jc w:val="right"/>
            </w:pPr>
            <w:r>
              <w:rPr>
                <w:rFonts w:ascii="Bahnschrift" w:hAnsi="Bahnschrift" w:eastAsia="Bahnschrift"/>
                <w:b/>
                <w:i w:val="0"/>
                <w:color w:val="FFFFFF"/>
                <w:sz w:val="40"/>
              </w:rPr>
              <w:t>2</w:t>
            </w:r>
          </w:p>
        </w:tc>
      </w:tr>
      <w:tr>
        <w:trPr>
          <w:trHeight w:hRule="exact" w:val="660"/>
        </w:trPr>
        <w:tc>
          <w:tcPr>
            <w:tcW w:type="dxa" w:w="5625"/>
            <w:vMerge/>
            <w:tcBorders/>
          </w:tcPr>
          <w:p/>
        </w:tc>
        <w:tc>
          <w:tcPr>
            <w:tcW w:type="dxa" w:w="1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1662430</wp:posOffset>
                  </wp:positionH>
                  <wp:positionV relativeFrom="page">
                    <wp:posOffset>760730</wp:posOffset>
                  </wp:positionV>
                  <wp:extent cx="8756650" cy="12065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6650" cy="120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25"/>
            <w:vMerge/>
            <w:tcBorders/>
          </w:tcPr>
          <w:p/>
        </w:tc>
      </w:tr>
      <w:tr>
        <w:trPr>
          <w:trHeight w:hRule="exact" w:val="8120"/>
        </w:trPr>
        <w:tc>
          <w:tcPr>
            <w:tcW w:type="dxa" w:w="5625"/>
            <w:vMerge/>
            <w:tcBorders/>
          </w:tcPr>
          <w:p/>
        </w:tc>
        <w:tc>
          <w:tcPr>
            <w:tcW w:type="dxa" w:w="1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79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2063750</wp:posOffset>
                  </wp:positionH>
                  <wp:positionV relativeFrom="page">
                    <wp:posOffset>1447800</wp:posOffset>
                  </wp:positionV>
                  <wp:extent cx="7489190" cy="463931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9190" cy="46393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574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57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884" w:bottom="4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</wp:posOffset>
            </wp:positionH>
            <wp:positionV relativeFrom="page">
              <wp:posOffset>1347470</wp:posOffset>
            </wp:positionV>
            <wp:extent cx="11169650" cy="323572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0" cy="32357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574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57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636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64"/>
        </w:rPr>
        <w:t xml:space="preserve">Gestão do </w:t>
      </w:r>
      <w:r>
        <w:rPr>
          <w:rFonts w:ascii="Bahnschrift" w:hAnsi="Bahnschrift" w:eastAsia="Bahnschrift"/>
          <w:b/>
          <w:i w:val="0"/>
          <w:color w:val="ED7D31"/>
          <w:sz w:val="64"/>
        </w:rPr>
        <w:t>estoque regulatório</w:t>
      </w:r>
    </w:p>
    <w:p>
      <w:pPr>
        <w:autoSpaceDN w:val="0"/>
        <w:autoSpaceDE w:val="0"/>
        <w:widowControl/>
        <w:spacing w:line="240" w:lineRule="auto" w:before="60" w:after="648"/>
        <w:ind w:left="6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862330</wp:posOffset>
            </wp:positionV>
            <wp:extent cx="11121390" cy="1206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139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8.0" w:type="dxa"/>
      </w:tblPr>
      <w:tblGrid>
        <w:gridCol w:w="2813"/>
        <w:gridCol w:w="2813"/>
        <w:gridCol w:w="2813"/>
        <w:gridCol w:w="2813"/>
        <w:gridCol w:w="2813"/>
        <w:gridCol w:w="2813"/>
      </w:tblGrid>
      <w:tr>
        <w:trPr>
          <w:trHeight w:hRule="exact" w:val="670"/>
        </w:trPr>
        <w:tc>
          <w:tcPr>
            <w:tcW w:type="dxa" w:w="998"/>
            <w:tcBorders>
              <w:end w:sz="10.399999999999977" w:val="single" w:color="#FFFFFF"/>
              <w:bottom w:sz="10.400000000000091" w:val="single" w:color="#FFFFFF"/>
            </w:tcBorders>
            <w:shd w:fill="c8c8c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4" w:after="0"/>
              <w:ind w:left="64" w:right="0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000000"/>
                <w:sz w:val="20"/>
              </w:rPr>
              <w:t>Projeto</w:t>
            </w:r>
          </w:p>
        </w:tc>
        <w:tc>
          <w:tcPr>
            <w:tcW w:type="dxa" w:w="3278"/>
            <w:tcBorders>
              <w:start w:sz="10.399999999999977" w:val="single" w:color="#FFFFFF"/>
              <w:end w:sz="10.400000000000091" w:val="single" w:color="#FFFFFF"/>
              <w:bottom w:sz="10.400000000000091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42" w:right="288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 xml:space="preserve">Resoluções nº 48/2014 e 71/2014 </w:t>
            </w: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>(Revisão)</w:t>
            </w:r>
          </w:p>
        </w:tc>
        <w:tc>
          <w:tcPr>
            <w:tcW w:type="dxa" w:w="3266"/>
            <w:tcBorders>
              <w:start w:sz="10.400000000000091" w:val="single" w:color="#FFFFFF"/>
              <w:end w:sz="10.400000000000091" w:val="single" w:color="#FFFFFF"/>
              <w:bottom w:sz="10.400000000000091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42" w:right="1296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 xml:space="preserve">Resolução nº 94/2015 </w:t>
            </w: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>(Revisão)</w:t>
            </w:r>
          </w:p>
        </w:tc>
        <w:tc>
          <w:tcPr>
            <w:tcW w:type="dxa" w:w="3268"/>
            <w:tcBorders>
              <w:start w:sz="10.400000000000091" w:val="single" w:color="#FFFFFF"/>
              <w:end w:sz="10.399999999999636" w:val="single" w:color="#FFFFFF"/>
              <w:bottom w:sz="10.400000000000091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42" w:right="1152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 xml:space="preserve">Resolução nº 251/2018 </w:t>
            </w: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>(Aprimoramento)</w:t>
            </w:r>
          </w:p>
        </w:tc>
        <w:tc>
          <w:tcPr>
            <w:tcW w:type="dxa" w:w="3262"/>
            <w:tcBorders>
              <w:start w:sz="10.399999999999636" w:val="single" w:color="#FFFFFF"/>
              <w:end w:sz="10.400000000000546" w:val="single" w:color="#FFFFFF"/>
              <w:bottom w:sz="10.400000000000091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40" w:right="1152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 xml:space="preserve">Resolução nº 303/2019 </w:t>
            </w: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>(Revisão)</w:t>
            </w:r>
          </w:p>
        </w:tc>
        <w:tc>
          <w:tcPr>
            <w:tcW w:type="dxa" w:w="3286"/>
            <w:tcBorders>
              <w:start w:sz="10.400000000000546" w:val="single" w:color="#FFFFFF"/>
              <w:bottom w:sz="10.400000000000091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40" w:right="1152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 xml:space="preserve">Resolução nº 423/2022 </w:t>
            </w:r>
            <w:r>
              <w:rPr>
                <w:w w:val="98.88378143310547"/>
                <w:rFonts w:ascii="Bahnschrift" w:hAnsi="Bahnschrift" w:eastAsia="Bahnschrift"/>
                <w:b/>
                <w:i w:val="0"/>
                <w:color w:val="FFFFFF"/>
                <w:sz w:val="20"/>
              </w:rPr>
              <w:t>(Aprimoramento)</w:t>
            </w:r>
          </w:p>
        </w:tc>
      </w:tr>
      <w:tr>
        <w:trPr>
          <w:trHeight w:hRule="exact" w:val="660"/>
        </w:trPr>
        <w:tc>
          <w:tcPr>
            <w:tcW w:type="dxa" w:w="998"/>
            <w:tcBorders>
              <w:top w:sz="10.400000000000091" w:val="single" w:color="#FFFFFF"/>
              <w:end w:sz="10.399999999999977" w:val="single" w:color="#FFFFFF"/>
              <w:bottom w:sz="10.400000000000091" w:val="single" w:color="#FFFFFF"/>
            </w:tcBorders>
            <w:shd w:fill="c8c8c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0" w:after="0"/>
              <w:ind w:left="64" w:right="0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000000"/>
                <w:sz w:val="20"/>
              </w:rPr>
              <w:t>Tema</w:t>
            </w:r>
          </w:p>
        </w:tc>
        <w:tc>
          <w:tcPr>
            <w:tcW w:type="dxa" w:w="3278"/>
            <w:tcBorders>
              <w:start w:sz="10.399999999999977" w:val="single" w:color="#FFFFFF"/>
              <w:top w:sz="10.400000000000091" w:val="single" w:color="#FFFFFF"/>
              <w:end w:sz="10.400000000000091" w:val="single" w:color="#FFFFFF"/>
              <w:bottom w:sz="10.400000000000091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42" w:right="1008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 xml:space="preserve">Fiscalização e </w:t>
            </w:r>
            <w:r>
              <w:br/>
            </w: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Processo Sancionatório</w:t>
            </w:r>
          </w:p>
        </w:tc>
        <w:tc>
          <w:tcPr>
            <w:tcW w:type="dxa" w:w="3266"/>
            <w:tcBorders>
              <w:start w:sz="10.400000000000091" w:val="single" w:color="#FFFFFF"/>
              <w:top w:sz="10.400000000000091" w:val="single" w:color="#FFFFFF"/>
              <w:end w:sz="10.400000000000091" w:val="single" w:color="#FFFFFF"/>
              <w:bottom w:sz="10.400000000000091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42" w:right="720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 xml:space="preserve">Bandeiras Tarifárias de EE </w:t>
            </w: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em Contratos de PPP</w:t>
            </w:r>
          </w:p>
        </w:tc>
        <w:tc>
          <w:tcPr>
            <w:tcW w:type="dxa" w:w="3268"/>
            <w:tcBorders>
              <w:start w:sz="10.400000000000091" w:val="single" w:color="#FFFFFF"/>
              <w:top w:sz="10.400000000000091" w:val="single" w:color="#FFFFFF"/>
              <w:end w:sz="10.399999999999636" w:val="single" w:color="#FFFFFF"/>
              <w:bottom w:sz="10.400000000000091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0" w:after="0"/>
              <w:ind w:left="42" w:right="0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Tarifa Social</w:t>
            </w:r>
          </w:p>
        </w:tc>
        <w:tc>
          <w:tcPr>
            <w:tcW w:type="dxa" w:w="3262"/>
            <w:tcBorders>
              <w:start w:sz="10.399999999999636" w:val="single" w:color="#FFFFFF"/>
              <w:top w:sz="10.400000000000091" w:val="single" w:color="#FFFFFF"/>
              <w:end w:sz="10.400000000000546" w:val="single" w:color="#FFFFFF"/>
              <w:bottom w:sz="10.400000000000091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40" w:right="144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 xml:space="preserve">Procedimentos Regulatórios </w:t>
            </w:r>
            <w:r>
              <w:br/>
            </w: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em Contratos de Concessão e PPP</w:t>
            </w:r>
          </w:p>
        </w:tc>
        <w:tc>
          <w:tcPr>
            <w:tcW w:type="dxa" w:w="3286"/>
            <w:tcBorders>
              <w:start w:sz="10.400000000000546" w:val="single" w:color="#FFFFFF"/>
              <w:top w:sz="10.400000000000091" w:val="single" w:color="#FFFFFF"/>
              <w:bottom w:sz="10.400000000000091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40" w:right="1440" w:firstLine="0"/>
              <w:jc w:val="left"/>
            </w:pP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 xml:space="preserve">Preços Públicos de </w:t>
            </w:r>
            <w:r>
              <w:rPr>
                <w:w w:val="98.88378143310547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Serviços Individuais</w:t>
            </w:r>
          </w:p>
        </w:tc>
      </w:tr>
      <w:tr>
        <w:trPr>
          <w:trHeight w:hRule="exact" w:val="3527"/>
        </w:trPr>
        <w:tc>
          <w:tcPr>
            <w:tcW w:type="dxa" w:w="998"/>
            <w:tcBorders>
              <w:top w:sz="10.400000000000091" w:val="single" w:color="#FFFFFF"/>
              <w:end w:sz="10.399999999999977" w:val="single" w:color="#FFFFFF"/>
            </w:tcBorders>
            <w:shd w:fill="c8c8c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64" w:after="0"/>
              <w:ind w:left="0" w:right="0" w:firstLine="0"/>
              <w:jc w:val="center"/>
            </w:pPr>
            <w:r>
              <w:rPr>
                <w:w w:val="98.88378143310547"/>
                <w:rFonts w:ascii="Bahnschrift" w:hAnsi="Bahnschrift" w:eastAsia="Bahnschrift"/>
                <w:b/>
                <w:i w:val="0"/>
                <w:color w:val="000000"/>
                <w:sz w:val="20"/>
              </w:rPr>
              <w:t>Descrição</w:t>
            </w:r>
          </w:p>
        </w:tc>
        <w:tc>
          <w:tcPr>
            <w:tcW w:type="dxa" w:w="3278"/>
            <w:tcBorders>
              <w:start w:sz="10.399999999999977" w:val="single" w:color="#FFFFFF"/>
              <w:top w:sz="10.400000000000091" w:val="single" w:color="#FFFFFF"/>
              <w:end w:sz="10.400000000000091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30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As Resoluções ARES-PCJ nº 48/2014 e 71/2014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são normativos fundamentais para orientar as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ações de fiscalização e o processo sancionatório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da Agência. Decorridos dez anos de sua edição,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demandam reavaliação, levando em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consideração sua eficácia e as mudanças em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curso no setor.</w:t>
            </w:r>
          </w:p>
          <w:p>
            <w:pPr>
              <w:autoSpaceDN w:val="0"/>
              <w:autoSpaceDE w:val="0"/>
              <w:widowControl/>
              <w:spacing w:line="247" w:lineRule="auto" w:before="224" w:after="0"/>
              <w:ind w:left="30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O projeto irá reexaminar os tipos de infrações 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condutas inadequadas verificadas junto aos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prestadores de serviços de saneamento básico,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incluindo desde questões especificamente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operacionais, até aspectos  relacionados à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qualidade, eficiência e cumprimento de metas na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prestação dos serviços.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30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Além disso, o projeto visa atualizar as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ferramentas do processo sancionatório, de modo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a torná-lo mais ágil, eficiente e inteligente.</w:t>
            </w:r>
          </w:p>
        </w:tc>
        <w:tc>
          <w:tcPr>
            <w:tcW w:type="dxa" w:w="3266"/>
            <w:tcBorders>
              <w:start w:sz="10.400000000000091" w:val="single" w:color="#FFFFFF"/>
              <w:top w:sz="10.400000000000091" w:val="single" w:color="#FFFFFF"/>
              <w:end w:sz="10.400000000000091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0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 Resolução ARES-PCJ nº 94/2015 estabelece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mecanismo de reequilíbrio por custos adicionais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com o sistema de bandeiras tarifárias de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energia elétrica no âmbito de contratos de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Parceria Público-Privada.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30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Editada no mesmo ano de instituição das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bandeiras, completará uma década em 2025, de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modo que se faz necessário rever os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parâmetros de sua aplicação após a experiência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acumulada.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30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 revisão busca assegurar uma maior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previsibilidade e equilíbrio em relação ao tema,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permitindo que entes públicos e privados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possam enfrentar de maneira mais eficaz os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desafios impostos por variações no cenário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hídrico.</w:t>
            </w:r>
          </w:p>
        </w:tc>
        <w:tc>
          <w:tcPr>
            <w:tcW w:type="dxa" w:w="3268"/>
            <w:tcBorders>
              <w:start w:sz="10.400000000000091" w:val="single" w:color="#FFFFFF"/>
              <w:top w:sz="10.400000000000091" w:val="single" w:color="#FFFFFF"/>
              <w:end w:sz="10.399999999999636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28" w:right="144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No ano de 2022, a ARES-PCJ realizou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importante estudo de avaliação da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implementação de política de Tarifa Social de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Água e Esgoto.</w:t>
            </w:r>
          </w:p>
          <w:p>
            <w:pPr>
              <w:autoSpaceDN w:val="0"/>
              <w:autoSpaceDE w:val="0"/>
              <w:widowControl/>
              <w:spacing w:line="245" w:lineRule="auto" w:before="226" w:after="0"/>
              <w:ind w:left="28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Ao longo de 2023, alguns dos aprendizados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obtidos foram transformados em propostas de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melhoria da política para alcance de seus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objetivos.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28" w:right="288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Este projeto visa dar maior visibilidade 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efetividade a essas propostas por meio do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aprimoramento do normativo em voga.</w:t>
            </w:r>
          </w:p>
        </w:tc>
        <w:tc>
          <w:tcPr>
            <w:tcW w:type="dxa" w:w="3262"/>
            <w:tcBorders>
              <w:start w:sz="10.399999999999636" w:val="single" w:color="#FFFFFF"/>
              <w:top w:sz="10.400000000000091" w:val="single" w:color="#FFFFFF"/>
              <w:end w:sz="10.400000000000546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26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 Resolução nº 303/2019 é o principal normativo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 estabelecer procedimentos regulatórios em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Contratos de Concessão e PPP, incluindo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procedimentos referentes à regulação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econômica e acompanhamento da execução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contratual.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26" w:right="0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Decorridos quatro anos de sua aplicação, propõe-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se sua revisão de modo a captar os avanços que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 conjuntura do setor apresenta ao tema, além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de verificar a eficácia de sua aplicação em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relação à experiência do último período.</w:t>
            </w:r>
          </w:p>
        </w:tc>
        <w:tc>
          <w:tcPr>
            <w:tcW w:type="dxa" w:w="3286"/>
            <w:tcBorders>
              <w:start w:sz="10.400000000000546" w:val="single" w:color="#FFFFFF"/>
              <w:top w:sz="10.400000000000091" w:val="single" w:color="#FFFFFF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28" w:right="288" w:firstLine="0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A Resolução nº 423/2022 dispõe sobre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procedimentos e metodologias a serem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observados pela Agência na definição e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regulação dos preços públicos dos serviços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individuais praticas por prestadores dos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serviços de abastecimento de água e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esgotamento sanitário.</w:t>
            </w:r>
          </w:p>
          <w:p>
            <w:pPr>
              <w:autoSpaceDN w:val="0"/>
              <w:autoSpaceDE w:val="0"/>
              <w:widowControl/>
              <w:spacing w:line="245" w:lineRule="auto" w:before="38" w:after="0"/>
              <w:ind w:left="72" w:right="0" w:hanging="72"/>
              <w:jc w:val="left"/>
            </w:pP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-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Embora seja uma resolução recente, sua curta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experiência de aplicação foi capaz de apontar a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necessidade de aprimoramentos em sua </w:t>
            </w:r>
            <w:r>
              <w:br/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 xml:space="preserve">dinâmica de implantação, de forma a diminuir os </w:t>
            </w:r>
            <w:r>
              <w:rPr>
                <w:w w:val="96.76432291666667"/>
                <w:rFonts w:ascii="Bahnschrift" w:hAnsi="Bahnschrift" w:eastAsia="Bahnschrift"/>
                <w:b w:val="0"/>
                <w:i w:val="0"/>
                <w:color w:val="000000"/>
                <w:sz w:val="15"/>
              </w:rPr>
              <w:t>custos regulatórios de seus trâmites.</w:t>
            </w:r>
          </w:p>
        </w:tc>
      </w:tr>
    </w:tbl>
    <w:p>
      <w:pPr>
        <w:autoSpaceDN w:val="0"/>
        <w:tabs>
          <w:tab w:pos="18180" w:val="left"/>
        </w:tabs>
        <w:autoSpaceDE w:val="0"/>
        <w:widowControl/>
        <w:spacing w:line="240" w:lineRule="auto" w:before="99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5110480</wp:posOffset>
            </wp:positionV>
            <wp:extent cx="1562100" cy="180086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0086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Bahnschrift" w:hAnsi="Bahnschrift" w:eastAsia="Bahnschrift"/>
          <w:b/>
          <w:i w:val="0"/>
          <w:color w:val="FFFFFF"/>
          <w:sz w:val="40"/>
        </w:rPr>
        <w:t>3</w:t>
      </w:r>
    </w:p>
    <w:p>
      <w:pPr>
        <w:sectPr>
          <w:pgSz w:w="19200" w:h="10800"/>
          <w:pgMar w:top="330" w:right="88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574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57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636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64"/>
        </w:rPr>
        <w:t xml:space="preserve">Gestão do </w:t>
      </w:r>
      <w:r>
        <w:rPr>
          <w:rFonts w:ascii="Bahnschrift" w:hAnsi="Bahnschrift" w:eastAsia="Bahnschrift"/>
          <w:b/>
          <w:i w:val="0"/>
          <w:color w:val="ED7D31"/>
          <w:sz w:val="64"/>
        </w:rPr>
        <w:t>estoque regulatório</w:t>
      </w:r>
    </w:p>
    <w:p>
      <w:pPr>
        <w:autoSpaceDN w:val="0"/>
        <w:autoSpaceDE w:val="0"/>
        <w:widowControl/>
        <w:spacing w:line="240" w:lineRule="auto" w:before="60" w:after="0"/>
        <w:ind w:left="6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862330</wp:posOffset>
            </wp:positionV>
            <wp:extent cx="11121390" cy="1206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139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34" w:after="0"/>
        <w:ind w:left="5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1068070</wp:posOffset>
            </wp:positionV>
            <wp:extent cx="11318240" cy="32969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18240" cy="3296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" w:after="0"/>
        <w:ind w:left="662" w:right="0" w:firstLine="0"/>
        <w:jc w:val="left"/>
      </w:pPr>
      <w:r>
        <w:rPr>
          <w:rFonts w:ascii="Bahnschrift" w:hAnsi="Bahnschrift" w:eastAsia="Bahnschrift"/>
          <w:b/>
          <w:i w:val="0"/>
          <w:color w:val="000000"/>
          <w:sz w:val="22"/>
        </w:rPr>
        <w:t>Revisão</w:t>
      </w:r>
      <w:r>
        <w:rPr>
          <w:rFonts w:ascii="Bahnschrift" w:hAnsi="Bahnschrift" w:eastAsia="Bahnschrift"/>
          <w:b w:val="0"/>
          <w:i w:val="0"/>
          <w:color w:val="000000"/>
          <w:sz w:val="22"/>
        </w:rPr>
        <w:t xml:space="preserve">: processo de reavaliação geral do conteúdo e aplicação do ato normativo, com possibilidade de aprimoramento pontual, substituição por novo normativo ou revogação da </w:t>
      </w:r>
      <w:r>
        <w:rPr>
          <w:rFonts w:ascii="Bahnschrift" w:hAnsi="Bahnschrift" w:eastAsia="Bahnschrift"/>
          <w:b w:val="0"/>
          <w:i w:val="0"/>
          <w:color w:val="000000"/>
          <w:sz w:val="22"/>
        </w:rPr>
        <w:t xml:space="preserve">política regulatória </w:t>
      </w:r>
      <w:r>
        <w:br/>
      </w:r>
      <w:r>
        <w:rPr>
          <w:rFonts w:ascii="Bahnschrift" w:hAnsi="Bahnschrift" w:eastAsia="Bahnschrift"/>
          <w:b/>
          <w:i w:val="0"/>
          <w:color w:val="000000"/>
          <w:sz w:val="22"/>
        </w:rPr>
        <w:t>Aprimoramento</w:t>
      </w:r>
      <w:r>
        <w:rPr>
          <w:rFonts w:ascii="Bahnschrift" w:hAnsi="Bahnschrift" w:eastAsia="Bahnschrift"/>
          <w:b w:val="0"/>
          <w:i w:val="0"/>
          <w:color w:val="000000"/>
          <w:sz w:val="22"/>
        </w:rPr>
        <w:t xml:space="preserve">: processo de reavaliação do ato normativo objetivando identificar necessidade de aprimoramento pontual que garanta melhores eficiência e eficácia em sua </w:t>
      </w:r>
      <w:r>
        <w:rPr>
          <w:rFonts w:ascii="Bahnschrift" w:hAnsi="Bahnschrift" w:eastAsia="Bahnschrift"/>
          <w:b w:val="0"/>
          <w:i w:val="0"/>
          <w:color w:val="000000"/>
          <w:sz w:val="22"/>
        </w:rPr>
        <w:t>aplicação</w:t>
      </w:r>
    </w:p>
    <w:p>
      <w:pPr>
        <w:autoSpaceDN w:val="0"/>
        <w:tabs>
          <w:tab w:pos="18180" w:val="left"/>
        </w:tabs>
        <w:autoSpaceDE w:val="0"/>
        <w:widowControl/>
        <w:spacing w:line="240" w:lineRule="auto" w:before="6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5110480</wp:posOffset>
            </wp:positionV>
            <wp:extent cx="1562100" cy="180086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0086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Bahnschrift" w:hAnsi="Bahnschrift" w:eastAsia="Bahnschrift"/>
          <w:b/>
          <w:i w:val="0"/>
          <w:color w:val="FFFFFF"/>
          <w:sz w:val="40"/>
        </w:rPr>
        <w:t>4</w:t>
      </w:r>
    </w:p>
    <w:p>
      <w:pPr>
        <w:sectPr>
          <w:pgSz w:w="19200" w:h="10800"/>
          <w:pgMar w:top="330" w:right="79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5313680</wp:posOffset>
            </wp:positionV>
            <wp:extent cx="1540510" cy="1595203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5952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536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64"/>
        </w:rPr>
        <w:t xml:space="preserve">Normas de Referência da </w:t>
      </w:r>
      <w:r>
        <w:rPr>
          <w:rFonts w:ascii="Bahnschrift" w:hAnsi="Bahnschrift" w:eastAsia="Bahnschrift"/>
          <w:b/>
          <w:i w:val="0"/>
          <w:color w:val="ED7D31"/>
          <w:sz w:val="64"/>
        </w:rPr>
        <w:t>ANA</w:t>
      </w:r>
      <w:r>
        <w:rPr>
          <w:w w:val="101.18918547759186"/>
          <w:rFonts w:ascii="Bahnschrift" w:hAnsi="Bahnschrift" w:eastAsia="Bahnschrift"/>
          <w:b/>
          <w:i w:val="0"/>
          <w:color w:val="0070C0"/>
          <w:sz w:val="37"/>
        </w:rPr>
        <w:t>*</w:t>
      </w:r>
    </w:p>
    <w:p>
      <w:pPr>
        <w:autoSpaceDN w:val="0"/>
        <w:autoSpaceDE w:val="0"/>
        <w:widowControl/>
        <w:spacing w:line="240" w:lineRule="auto" w:before="72" w:after="94"/>
        <w:ind w:left="56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356870</wp:posOffset>
            </wp:positionH>
            <wp:positionV relativeFrom="page">
              <wp:posOffset>623570</wp:posOffset>
            </wp:positionV>
            <wp:extent cx="11121390" cy="1206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139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2.0" w:type="dxa"/>
      </w:tblPr>
      <w:tblGrid>
        <w:gridCol w:w="17110"/>
      </w:tblGrid>
      <w:tr>
        <w:trPr>
          <w:trHeight w:hRule="exact" w:val="396"/>
        </w:trPr>
        <w:tc>
          <w:tcPr>
            <w:tcW w:type="dxa" w:w="17340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6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FFFFFF"/>
                <w:sz w:val="22"/>
              </w:rPr>
              <w:t>Governança Regulatória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2.0" w:type="dxa"/>
      </w:tblPr>
      <w:tblGrid>
        <w:gridCol w:w="4277"/>
        <w:gridCol w:w="4277"/>
        <w:gridCol w:w="4277"/>
        <w:gridCol w:w="4277"/>
      </w:tblGrid>
      <w:tr>
        <w:trPr>
          <w:trHeight w:hRule="exact" w:val="398"/>
        </w:trPr>
        <w:tc>
          <w:tcPr>
            <w:tcW w:type="dxa" w:w="4346"/>
            <w:tcBorders>
              <w:top w:sz="8.0" w:val="single" w:color="#FFFFFF"/>
              <w:end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Tema</w:t>
            </w:r>
          </w:p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Objeto</w:t>
            </w:r>
          </w:p>
        </w:tc>
        <w:tc>
          <w:tcPr>
            <w:tcW w:type="dxa" w:w="433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Normas da ARES-PCJ relacionadas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Documentos</w:t>
            </w:r>
          </w:p>
        </w:tc>
      </w:tr>
      <w:tr>
        <w:trPr>
          <w:trHeight w:hRule="exact" w:val="624"/>
        </w:trPr>
        <w:tc>
          <w:tcPr>
            <w:tcW w:type="dxa" w:w="4346"/>
            <w:tcBorders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38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Governança Regulatória</w:t>
            </w:r>
          </w:p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 xml:space="preserve">Práticas de Governança a serem observadas pelas </w:t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Entidades Reguladoras Infranacionais (ERIs)</w:t>
            </w:r>
          </w:p>
        </w:tc>
        <w:tc>
          <w:tcPr>
            <w:tcW w:type="dxa" w:w="433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152" w:right="1152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 xml:space="preserve">Protocolo de Intenções </w:t>
            </w:r>
            <w:r>
              <w:br/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Regimento Interno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38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26" w:history="1">
                <w:r>
                  <w:rPr>
                    <w:rStyle w:val="Hyperlink"/>
                  </w:rPr>
                  <w:t>https://participacao-social.ana.gov.br/Consulta/157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2.0" w:type="dxa"/>
      </w:tblPr>
      <w:tblGrid>
        <w:gridCol w:w="17110"/>
      </w:tblGrid>
      <w:tr>
        <w:trPr>
          <w:trHeight w:hRule="exact" w:val="396"/>
        </w:trPr>
        <w:tc>
          <w:tcPr>
            <w:tcW w:type="dxa" w:w="17340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6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FFFFFF"/>
                <w:sz w:val="22"/>
              </w:rPr>
              <w:t>Abastecimento de Água e Esgotamento Sanitário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2.0" w:type="dxa"/>
      </w:tblPr>
      <w:tblGrid>
        <w:gridCol w:w="4277"/>
        <w:gridCol w:w="4277"/>
        <w:gridCol w:w="4277"/>
        <w:gridCol w:w="4277"/>
      </w:tblGrid>
      <w:tr>
        <w:trPr>
          <w:trHeight w:hRule="exact" w:val="408"/>
        </w:trPr>
        <w:tc>
          <w:tcPr>
            <w:tcW w:type="dxa" w:w="4346"/>
            <w:tcBorders>
              <w:end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Tema</w:t>
            </w:r>
          </w:p>
        </w:tc>
        <w:tc>
          <w:tcPr>
            <w:tcW w:type="dxa" w:w="4334"/>
            <w:tcBorders>
              <w:start w:sz="8.0" w:val="single" w:color="#FFFFFF"/>
              <w:end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Objeto</w:t>
            </w:r>
          </w:p>
        </w:tc>
        <w:tc>
          <w:tcPr>
            <w:tcW w:type="dxa" w:w="4336"/>
            <w:tcBorders>
              <w:start w:sz="8.0" w:val="single" w:color="#FFFFFF"/>
              <w:end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Normas da ARES-PCJ relacionadas</w:t>
            </w:r>
          </w:p>
        </w:tc>
        <w:tc>
          <w:tcPr>
            <w:tcW w:type="dxa" w:w="4344"/>
            <w:tcBorders>
              <w:start w:sz="8.0" w:val="single" w:color="#FFFFFF"/>
              <w:bottom w:sz="8.0" w:val="single" w:color="#FFFFFF"/>
            </w:tcBorders>
            <w:shd w:fill="ec7c3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/>
                <w:i w:val="0"/>
                <w:color w:val="000000"/>
                <w:sz w:val="18"/>
              </w:rPr>
              <w:t>Documentos</w:t>
            </w:r>
          </w:p>
        </w:tc>
      </w:tr>
      <w:tr>
        <w:trPr>
          <w:trHeight w:hRule="exact" w:val="396"/>
        </w:trPr>
        <w:tc>
          <w:tcPr>
            <w:tcW w:type="dxa" w:w="4346"/>
            <w:vMerge w:val="restart"/>
            <w:tcBorders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Padronização de instrumentos negociais</w:t>
            </w:r>
          </w:p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Matriz de Risco</w:t>
            </w:r>
          </w:p>
        </w:tc>
        <w:tc>
          <w:tcPr>
            <w:tcW w:type="dxa" w:w="433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Resolução ARES-PCJ nº 303/2019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27" w:history="1">
                <w:r>
                  <w:rPr>
                    <w:rStyle w:val="Hyperlink"/>
                  </w:rPr>
                  <w:t>https://participacao-social.ana.gov.br/Consulta/148</w:t>
                </w:r>
              </w:hyperlink>
            </w:r>
          </w:p>
        </w:tc>
      </w:tr>
      <w:tr>
        <w:trPr>
          <w:trHeight w:hRule="exact" w:val="396"/>
        </w:trPr>
        <w:tc>
          <w:tcPr>
            <w:tcW w:type="dxa" w:w="4277"/>
            <w:vMerge/>
            <w:tcBorders>
              <w:top w:sz="8.0" w:val="single" w:color="#FFFFFF"/>
              <w:end w:sz="8.0" w:val="single" w:color="#FFFFFF"/>
              <w:bottom w:sz="8.0" w:val="single" w:color="#FFFFFF"/>
            </w:tcBorders>
          </w:tcPr>
          <w:p/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Padronização Aditivos Contratos de Concessão</w:t>
            </w:r>
          </w:p>
        </w:tc>
        <w:tc>
          <w:tcPr>
            <w:tcW w:type="dxa" w:w="433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Resolução ARES-PCJ nº 303/2019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28" w:history="1">
                <w:r>
                  <w:rPr>
                    <w:rStyle w:val="Hyperlink"/>
                  </w:rPr>
                  <w:t>https://participacao-social.ana.gov.br/Consulta/104</w:t>
                </w:r>
              </w:hyperlink>
            </w:r>
          </w:p>
        </w:tc>
      </w:tr>
      <w:tr>
        <w:trPr>
          <w:trHeight w:hRule="exact" w:val="398"/>
        </w:trPr>
        <w:tc>
          <w:tcPr>
            <w:tcW w:type="dxa" w:w="4346"/>
            <w:vMerge w:val="restart"/>
            <w:tcBorders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Qualidade da prestação de serviços</w:t>
            </w:r>
          </w:p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Condições Gerais de prestação dos serviços</w:t>
            </w:r>
          </w:p>
        </w:tc>
        <w:tc>
          <w:tcPr>
            <w:tcW w:type="dxa" w:w="4336"/>
            <w:vMerge w:val="restart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Resolução ARES-PCJ nº 50/2014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29" w:history="1">
                <w:r>
                  <w:rPr>
                    <w:rStyle w:val="Hyperlink"/>
                  </w:rPr>
                  <w:t>https://participacao-social.ana.gov.br/Consulta/165</w:t>
                </w:r>
              </w:hyperlink>
            </w:r>
          </w:p>
        </w:tc>
      </w:tr>
      <w:tr>
        <w:trPr>
          <w:trHeight w:hRule="exact" w:val="396"/>
        </w:trPr>
        <w:tc>
          <w:tcPr>
            <w:tcW w:type="dxa" w:w="4277"/>
            <w:vMerge/>
            <w:tcBorders>
              <w:top w:sz="8.0" w:val="single" w:color="#FFFFFF"/>
              <w:end w:sz="8.0" w:val="single" w:color="#FFFFFF"/>
              <w:bottom w:sz="8.0" w:val="single" w:color="#FFFFFF"/>
            </w:tcBorders>
          </w:tcPr>
          <w:p/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Indicadores de Eficiência e Eficácia</w:t>
            </w:r>
          </w:p>
        </w:tc>
        <w:tc>
          <w:tcPr>
            <w:tcW w:type="dxa" w:w="4277"/>
            <w:vMerge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</w:tcPr>
          <w:p/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30" w:history="1">
                <w:r>
                  <w:rPr>
                    <w:rStyle w:val="Hyperlink"/>
                  </w:rPr>
                  <w:t>https://participacao-social.ana.gov.br/Consulta/108</w:t>
                </w:r>
              </w:hyperlink>
            </w:r>
          </w:p>
        </w:tc>
      </w:tr>
      <w:tr>
        <w:trPr>
          <w:trHeight w:hRule="exact" w:val="398"/>
        </w:trPr>
        <w:tc>
          <w:tcPr>
            <w:tcW w:type="dxa" w:w="4346"/>
            <w:tcBorders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Regulação Contábil</w:t>
            </w:r>
          </w:p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Indenização de Ativos</w:t>
            </w:r>
          </w:p>
        </w:tc>
        <w:tc>
          <w:tcPr>
            <w:tcW w:type="dxa" w:w="433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Resolução ARES-PCJ nº 303/2019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31" w:history="1">
                <w:r>
                  <w:rPr>
                    <w:rStyle w:val="Hyperlink"/>
                  </w:rPr>
                  <w:t>https://participacao-social.ana.gov.br/Consulta/124</w:t>
                </w:r>
              </w:hyperlink>
            </w:r>
          </w:p>
        </w:tc>
      </w:tr>
      <w:tr>
        <w:trPr>
          <w:trHeight w:hRule="exact" w:val="396"/>
        </w:trPr>
        <w:tc>
          <w:tcPr>
            <w:tcW w:type="dxa" w:w="4346"/>
            <w:vMerge w:val="restart"/>
            <w:tcBorders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Regulação Tarifária</w:t>
            </w:r>
          </w:p>
        </w:tc>
        <w:tc>
          <w:tcPr>
            <w:tcW w:type="dxa" w:w="4334"/>
            <w:vMerge w:val="restart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24" w:after="0"/>
              <w:ind w:left="864" w:right="864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 xml:space="preserve">Reajuste Tarifário </w:t>
            </w:r>
            <w:r>
              <w:br/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Modelos de Regulação Tarifária</w:t>
            </w:r>
          </w:p>
        </w:tc>
        <w:tc>
          <w:tcPr>
            <w:tcW w:type="dxa" w:w="4336"/>
            <w:vMerge w:val="restart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720" w:right="72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 xml:space="preserve">Resolução ARES-PCJ nº 303/2019 </w:t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Resolução ARES-PCJ nº 435/2022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32" w:history="1">
                <w:r>
                  <w:rPr>
                    <w:rStyle w:val="Hyperlink"/>
                  </w:rPr>
                  <w:t>https://participacao-social.ana.gov.br/Consulta/138</w:t>
                </w:r>
              </w:hyperlink>
            </w:r>
          </w:p>
        </w:tc>
      </w:tr>
      <w:tr>
        <w:trPr>
          <w:trHeight w:hRule="exact" w:val="396"/>
        </w:trPr>
        <w:tc>
          <w:tcPr>
            <w:tcW w:type="dxa" w:w="4277"/>
            <w:vMerge/>
            <w:tcBorders>
              <w:top w:sz="8.0" w:val="single" w:color="#FFFFFF"/>
              <w:end w:sz="8.0" w:val="single" w:color="#FFFFFF"/>
              <w:bottom w:sz="8.0" w:val="single" w:color="#FFFFFF"/>
            </w:tcBorders>
          </w:tcPr>
          <w:p/>
        </w:tc>
        <w:tc>
          <w:tcPr>
            <w:tcW w:type="dxa" w:w="4277"/>
            <w:vMerge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</w:tcPr>
          <w:p/>
        </w:tc>
        <w:tc>
          <w:tcPr>
            <w:tcW w:type="dxa" w:w="4277"/>
            <w:vMerge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</w:tcPr>
          <w:p/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4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33" w:history="1">
                <w:r>
                  <w:rPr>
                    <w:rStyle w:val="Hyperlink"/>
                  </w:rPr>
                  <w:t>https://participacao-social.ana.gov.br/Consulta/150</w:t>
                </w:r>
              </w:hyperlink>
            </w:r>
          </w:p>
        </w:tc>
      </w:tr>
      <w:tr>
        <w:trPr>
          <w:trHeight w:hRule="exact" w:val="524"/>
        </w:trPr>
        <w:tc>
          <w:tcPr>
            <w:tcW w:type="dxa" w:w="4346"/>
            <w:tcBorders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Universalização do acesso ao saneamento básico</w:t>
            </w:r>
          </w:p>
        </w:tc>
        <w:tc>
          <w:tcPr>
            <w:tcW w:type="dxa" w:w="433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Metas Progressivas de Universalização</w:t>
            </w:r>
          </w:p>
        </w:tc>
        <w:tc>
          <w:tcPr>
            <w:tcW w:type="dxa" w:w="433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center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18"/>
              </w:rPr>
              <w:t>Resolução ARES-PCJ nº 50/2014</w:t>
            </w:r>
          </w:p>
        </w:tc>
        <w:tc>
          <w:tcPr>
            <w:tcW w:type="dxa" w:w="4344"/>
            <w:tcBorders>
              <w:start w:sz="8.0" w:val="single" w:color="#FFFFFF"/>
              <w:top w:sz="8.0" w:val="single" w:color="#FFFFFF"/>
              <w:bottom w:sz="8.0" w:val="single" w:color="#FFFFFF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center"/>
            </w:pPr>
            <w:r>
              <w:rPr>
                <w:u w:val="single" w:color="0462c1"/>
                <w:rFonts w:ascii="Bahnschrift" w:hAnsi="Bahnschrift" w:eastAsia="Bahnschrift"/>
                <w:b w:val="0"/>
                <w:i w:val="0"/>
                <w:color w:val="0563C1"/>
                <w:sz w:val="18"/>
              </w:rPr>
              <w:hyperlink r:id="rId34" w:history="1">
                <w:r>
                  <w:rPr>
                    <w:rStyle w:val="Hyperlink"/>
                  </w:rPr>
                  <w:t>https://participacao-social.ana.gov.br/Consulta/146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6.0" w:type="dxa"/>
      </w:tblPr>
      <w:tblGrid>
        <w:gridCol w:w="8555"/>
        <w:gridCol w:w="8555"/>
      </w:tblGrid>
      <w:tr>
        <w:trPr>
          <w:trHeight w:hRule="exact" w:val="396"/>
        </w:trPr>
        <w:tc>
          <w:tcPr>
            <w:tcW w:type="dxa" w:w="179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8.0" w:type="dxa"/>
            </w:tblPr>
            <w:tblGrid>
              <w:gridCol w:w="17988"/>
            </w:tblGrid>
            <w:tr>
              <w:trPr>
                <w:trHeight w:hRule="exact" w:val="396"/>
              </w:trPr>
              <w:tc>
                <w:tcPr>
                  <w:tcW w:type="dxa" w:w="1734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/>
                      <w:i w:val="0"/>
                      <w:color w:val="FFFFFF"/>
                      <w:sz w:val="22"/>
                    </w:rPr>
                    <w:t>Limpeza Urbana e Manejo de Resíduos Sólidos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8.0" w:type="dxa"/>
            </w:tblPr>
            <w:tblGrid>
              <w:gridCol w:w="4497"/>
              <w:gridCol w:w="4497"/>
              <w:gridCol w:w="4497"/>
              <w:gridCol w:w="4497"/>
            </w:tblGrid>
            <w:tr>
              <w:trPr>
                <w:trHeight w:hRule="exact" w:val="396"/>
              </w:trPr>
              <w:tc>
                <w:tcPr>
                  <w:tcW w:type="dxa" w:w="4346"/>
                  <w:tcBorders>
                    <w:top w:sz="8.0" w:val="single" w:color="#FFFFFF"/>
                    <w:end w:sz="8.0" w:val="single" w:color="#FFFFFF"/>
                    <w:bottom w:sz="8.0" w:val="single" w:color="#FFFFFF"/>
                  </w:tcBorders>
                  <w:shd w:fill="ec7c3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/>
                      <w:i w:val="0"/>
                      <w:color w:val="000000"/>
                      <w:sz w:val="18"/>
                    </w:rPr>
                    <w:t>Tema</w:t>
                  </w:r>
                </w:p>
              </w:tc>
              <w:tc>
                <w:tcPr>
                  <w:tcW w:type="dxa" w:w="4334"/>
                  <w:tcBorders>
                    <w:start w:sz="8.0" w:val="single" w:color="#FFFFFF"/>
                    <w:top w:sz="8.0" w:val="single" w:color="#FFFFFF"/>
                    <w:end w:sz="8.0" w:val="single" w:color="#FFFFFF"/>
                    <w:bottom w:sz="8.0" w:val="single" w:color="#FFFFFF"/>
                  </w:tcBorders>
                  <w:shd w:fill="ec7c3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/>
                      <w:i w:val="0"/>
                      <w:color w:val="000000"/>
                      <w:sz w:val="18"/>
                    </w:rPr>
                    <w:t>Objeto</w:t>
                  </w:r>
                </w:p>
              </w:tc>
              <w:tc>
                <w:tcPr>
                  <w:tcW w:type="dxa" w:w="4336"/>
                  <w:tcBorders>
                    <w:start w:sz="8.0" w:val="single" w:color="#FFFFFF"/>
                    <w:top w:sz="8.0" w:val="single" w:color="#FFFFFF"/>
                    <w:end w:sz="8.0" w:val="single" w:color="#FFFFFF"/>
                    <w:bottom w:sz="8.0" w:val="single" w:color="#FFFFFF"/>
                  </w:tcBorders>
                  <w:shd w:fill="ec7c3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/>
                      <w:i w:val="0"/>
                      <w:color w:val="000000"/>
                      <w:sz w:val="18"/>
                    </w:rPr>
                    <w:t>Normas da ARES-PCJ relacionadas</w:t>
                  </w:r>
                </w:p>
              </w:tc>
              <w:tc>
                <w:tcPr>
                  <w:tcW w:type="dxa" w:w="4344"/>
                  <w:tcBorders>
                    <w:start w:sz="8.0" w:val="single" w:color="#FFFFFF"/>
                    <w:top w:sz="8.0" w:val="single" w:color="#FFFFFF"/>
                    <w:bottom w:sz="8.0" w:val="single" w:color="#FFFFFF"/>
                  </w:tcBorders>
                  <w:shd w:fill="ec7c3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/>
                      <w:i w:val="0"/>
                      <w:color w:val="000000"/>
                      <w:sz w:val="18"/>
                    </w:rPr>
                    <w:t>Documentos</w:t>
                  </w:r>
                </w:p>
              </w:tc>
            </w:tr>
            <w:tr>
              <w:trPr>
                <w:trHeight w:hRule="exact" w:val="398"/>
              </w:trPr>
              <w:tc>
                <w:tcPr>
                  <w:tcW w:type="dxa" w:w="4346"/>
                  <w:vMerge w:val="restart"/>
                  <w:tcBorders>
                    <w:top w:sz="8.0" w:val="single" w:color="#FFFFFF"/>
                    <w:end w:sz="8.0" w:val="single" w:color="#FFFFFF"/>
                  </w:tcBorders>
                  <w:shd w:fill="e7e6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38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 w:val="0"/>
                      <w:i w:val="0"/>
                      <w:color w:val="000000"/>
                      <w:sz w:val="18"/>
                    </w:rPr>
                    <w:t>Qualidade da prestação de serviços</w:t>
                  </w:r>
                </w:p>
              </w:tc>
              <w:tc>
                <w:tcPr>
                  <w:tcW w:type="dxa" w:w="4334"/>
                  <w:tcBorders>
                    <w:start w:sz="8.0" w:val="single" w:color="#FFFFFF"/>
                    <w:top w:sz="8.0" w:val="single" w:color="#FFFFFF"/>
                    <w:end w:sz="8.0" w:val="single" w:color="#FFFFFF"/>
                    <w:bottom w:sz="8.0" w:val="single" w:color="#FFFFFF"/>
                  </w:tcBorders>
                  <w:shd w:fill="e7e6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 w:val="0"/>
                      <w:i w:val="0"/>
                      <w:color w:val="000000"/>
                      <w:sz w:val="18"/>
                    </w:rPr>
                    <w:t>Condições Gerais de prestação dos serviços</w:t>
                  </w:r>
                </w:p>
              </w:tc>
              <w:tc>
                <w:tcPr>
                  <w:tcW w:type="dxa" w:w="4336"/>
                  <w:vMerge w:val="restart"/>
                  <w:tcBorders>
                    <w:start w:sz="8.0" w:val="single" w:color="#FFFFFF"/>
                    <w:top w:sz="8.0" w:val="single" w:color="#FFFFFF"/>
                    <w:end w:sz="8.0" w:val="single" w:color="#FFFFFF"/>
                  </w:tcBorders>
                  <w:shd w:fill="e7e6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38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 w:val="0"/>
                      <w:i w:val="0"/>
                      <w:color w:val="000000"/>
                      <w:sz w:val="18"/>
                    </w:rPr>
                    <w:t>Resolução ARES-PCJ nº 370/2020</w:t>
                  </w:r>
                </w:p>
              </w:tc>
              <w:tc>
                <w:tcPr>
                  <w:tcW w:type="dxa" w:w="4344"/>
                  <w:tcBorders>
                    <w:start w:sz="8.0" w:val="single" w:color="#FFFFFF"/>
                    <w:top w:sz="8.0" w:val="single" w:color="#FFFFFF"/>
                    <w:bottom w:sz="8.0" w:val="single" w:color="#FFFFFF"/>
                  </w:tcBorders>
                  <w:shd w:fill="e7e6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26" w:after="0"/>
                    <w:ind w:left="0" w:right="0" w:firstLine="0"/>
                    <w:jc w:val="center"/>
                  </w:pPr>
                  <w:r>
                    <w:rPr>
                      <w:u w:val="single" w:color="0462c1"/>
                      <w:rFonts w:ascii="Bahnschrift" w:hAnsi="Bahnschrift" w:eastAsia="Bahnschrift"/>
                      <w:b w:val="0"/>
                      <w:i w:val="0"/>
                      <w:color w:val="0563C1"/>
                      <w:sz w:val="18"/>
                    </w:rPr>
                    <w:hyperlink r:id="rId35" w:history="1">
                      <w:r>
                        <w:rPr>
                          <w:rStyle w:val="Hyperlink"/>
                        </w:rPr>
                        <w:t>https://participacao-social.ana.gov.br/Consulta/140</w:t>
                      </w:r>
                    </w:hyperlink>
                  </w:r>
                </w:p>
              </w:tc>
            </w:tr>
            <w:tr>
              <w:trPr>
                <w:trHeight w:hRule="exact" w:val="634"/>
              </w:trPr>
              <w:tc>
                <w:tcPr>
                  <w:tcW w:type="dxa" w:w="4497"/>
                  <w:vMerge/>
                  <w:tcBorders>
                    <w:top w:sz="8.0" w:val="single" w:color="#FFFFFF"/>
                    <w:end w:sz="8.0" w:val="single" w:color="#FFFFFF"/>
                  </w:tcBorders>
                </w:tcPr>
                <w:p/>
              </w:tc>
              <w:tc>
                <w:tcPr>
                  <w:tcW w:type="dxa" w:w="4334"/>
                  <w:tcBorders>
                    <w:start w:sz="8.0" w:val="single" w:color="#FFFFFF"/>
                    <w:top w:sz="8.0" w:val="single" w:color="#FFFFFF"/>
                    <w:end w:sz="8.0" w:val="single" w:color="#FFFFFF"/>
                  </w:tcBorders>
                  <w:shd w:fill="e7e6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30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 w:val="0"/>
                      <w:i w:val="0"/>
                      <w:color w:val="000000"/>
                      <w:sz w:val="18"/>
                    </w:rPr>
                    <w:t xml:space="preserve">Padrões e indicadores de qualidade e eficiência para </w:t>
                  </w:r>
                  <w:r>
                    <w:rPr>
                      <w:rFonts w:ascii="Bahnschrift" w:hAnsi="Bahnschrift" w:eastAsia="Bahnschrift"/>
                      <w:b w:val="0"/>
                      <w:i w:val="0"/>
                      <w:color w:val="000000"/>
                      <w:sz w:val="18"/>
                    </w:rPr>
                    <w:t>os serviços de manejo de resíduos sólidos urbanos</w:t>
                  </w:r>
                </w:p>
              </w:tc>
              <w:tc>
                <w:tcPr>
                  <w:tcW w:type="dxa" w:w="4497"/>
                  <w:vMerge/>
                  <w:tcBorders>
                    <w:start w:sz="8.0" w:val="single" w:color="#FFFFFF"/>
                    <w:top w:sz="8.0" w:val="single" w:color="#FFFFFF"/>
                    <w:end w:sz="8.0" w:val="single" w:color="#FFFFFF"/>
                  </w:tcBorders>
                </w:tcPr>
                <w:p/>
              </w:tc>
              <w:tc>
                <w:tcPr>
                  <w:tcW w:type="dxa" w:w="4344"/>
                  <w:tcBorders>
                    <w:start w:sz="8.0" w:val="single" w:color="#FFFFFF"/>
                    <w:top w:sz="8.0" w:val="single" w:color="#FFFFFF"/>
                  </w:tcBorders>
                  <w:shd w:fill="e7e6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38" w:after="0"/>
                    <w:ind w:left="0" w:right="0" w:firstLine="0"/>
                    <w:jc w:val="center"/>
                  </w:pPr>
                  <w:r>
                    <w:rPr>
                      <w:rFonts w:ascii="Bahnschrift" w:hAnsi="Bahnschrift" w:eastAsia="Bahnschrift"/>
                      <w:b w:val="0"/>
                      <w:i w:val="0"/>
                      <w:color w:val="000000"/>
                      <w:sz w:val="18"/>
                    </w:rPr>
                    <w:t>Não iniciado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-58419</wp:posOffset>
                  </wp:positionH>
                  <wp:positionV relativeFrom="page">
                    <wp:posOffset>5447030</wp:posOffset>
                  </wp:positionV>
                  <wp:extent cx="1562100" cy="146431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643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2248" w:right="0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*Previstas para o próximo período. Para mais informações, consultar a Agenda Regulatória da ANA</w:t>
            </w:r>
          </w:p>
          <w:p>
            <w:pPr>
              <w:autoSpaceDN w:val="0"/>
              <w:autoSpaceDE w:val="0"/>
              <w:widowControl/>
              <w:spacing w:line="202" w:lineRule="auto" w:before="40" w:after="0"/>
              <w:ind w:left="2248" w:right="0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Bahnschrift" w:hAnsi="Bahnschrift" w:eastAsia="Bahnschrift"/>
                <w:b w:val="0"/>
                <w:i w:val="0"/>
                <w:color w:val="0563C1"/>
                <w:sz w:val="20"/>
              </w:rPr>
              <w:hyperlink r:id="rId37" w:history="1">
                <w:r>
                  <w:rPr>
                    <w:rStyle w:val="Hyperlink"/>
                  </w:rPr>
                  <w:t>https://www.gov.br/ana/pt-br/assuntos/saneamento-basico/agenda-regulatória</w:t>
                </w:r>
              </w:hyperlink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90"/>
        </w:trPr>
        <w:tc>
          <w:tcPr>
            <w:tcW w:type="dxa" w:w="8555"/>
            <w:vMerge/>
            <w:tcBorders/>
          </w:tcPr>
          <w:p/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08" w:after="0"/>
              <w:ind w:left="0" w:right="10" w:firstLine="0"/>
              <w:jc w:val="right"/>
            </w:pPr>
            <w:r>
              <w:rPr>
                <w:rFonts w:ascii="Bahnschrift" w:hAnsi="Bahnschrift" w:eastAsia="Bahnschrift"/>
                <w:b/>
                <w:i w:val="0"/>
                <w:color w:val="FFFFFF"/>
                <w:sz w:val="4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136" w:right="65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574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57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636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64"/>
        </w:rPr>
        <w:t>Normatização</w:t>
      </w:r>
    </w:p>
    <w:p>
      <w:pPr>
        <w:autoSpaceDN w:val="0"/>
        <w:autoSpaceDE w:val="0"/>
        <w:widowControl/>
        <w:spacing w:line="240" w:lineRule="auto" w:before="60" w:after="0"/>
        <w:ind w:left="6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862330</wp:posOffset>
            </wp:positionV>
            <wp:extent cx="11121390" cy="1206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139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04" w:after="0"/>
        <w:ind w:left="113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718820</wp:posOffset>
            </wp:positionH>
            <wp:positionV relativeFrom="page">
              <wp:posOffset>1366520</wp:posOffset>
            </wp:positionV>
            <wp:extent cx="10825480" cy="348995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25480" cy="34899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180" w:val="left"/>
        </w:tabs>
        <w:autoSpaceDE w:val="0"/>
        <w:widowControl/>
        <w:spacing w:line="240" w:lineRule="auto" w:before="40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5110480</wp:posOffset>
            </wp:positionV>
            <wp:extent cx="1562100" cy="180086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0086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Bahnschrift" w:hAnsi="Bahnschrift" w:eastAsia="Bahnschrift"/>
          <w:b/>
          <w:i w:val="0"/>
          <w:color w:val="FFFFFF"/>
          <w:sz w:val="40"/>
        </w:rPr>
        <w:t>6</w:t>
      </w:r>
    </w:p>
    <w:p>
      <w:pPr>
        <w:sectPr>
          <w:pgSz w:w="19200" w:h="10800"/>
          <w:pgMar w:top="330" w:right="88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5742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57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636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64"/>
        </w:rPr>
        <w:t>Normatização</w:t>
      </w:r>
    </w:p>
    <w:p>
      <w:pPr>
        <w:autoSpaceDN w:val="0"/>
        <w:autoSpaceDE w:val="0"/>
        <w:widowControl/>
        <w:spacing w:line="240" w:lineRule="auto" w:before="60" w:after="0"/>
        <w:ind w:left="6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862330</wp:posOffset>
            </wp:positionV>
            <wp:extent cx="11121390" cy="1206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139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24" w:after="0"/>
        <w:ind w:left="5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1315720</wp:posOffset>
            </wp:positionV>
            <wp:extent cx="11188700" cy="296164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0" cy="2961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180" w:val="left"/>
        </w:tabs>
        <w:autoSpaceDE w:val="0"/>
        <w:widowControl/>
        <w:spacing w:line="240" w:lineRule="auto" w:before="131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5110480</wp:posOffset>
            </wp:positionV>
            <wp:extent cx="1562100" cy="180086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0086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Bahnschrift" w:hAnsi="Bahnschrift" w:eastAsia="Bahnschrift"/>
          <w:b/>
          <w:i w:val="0"/>
          <w:color w:val="FFFFFF"/>
          <w:sz w:val="40"/>
        </w:rPr>
        <w:t>7</w:t>
      </w:r>
    </w:p>
    <w:p>
      <w:pPr>
        <w:sectPr>
          <w:pgSz w:w="19200" w:h="10800"/>
          <w:pgMar w:top="330" w:right="89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897890</wp:posOffset>
            </wp:positionH>
            <wp:positionV relativeFrom="page">
              <wp:posOffset>1294130</wp:posOffset>
            </wp:positionV>
            <wp:extent cx="10104119" cy="329799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104119" cy="32979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574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57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636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64"/>
        </w:rPr>
        <w:t xml:space="preserve">Regulamentos e </w:t>
      </w:r>
      <w:r>
        <w:rPr>
          <w:rFonts w:ascii="Bahnschrift" w:hAnsi="Bahnschrift" w:eastAsia="Bahnschrift"/>
          <w:b/>
          <w:i w:val="0"/>
          <w:color w:val="ED7D31"/>
          <w:sz w:val="64"/>
        </w:rPr>
        <w:t>Procedimentos</w:t>
      </w:r>
    </w:p>
    <w:p>
      <w:pPr>
        <w:autoSpaceDN w:val="0"/>
        <w:autoSpaceDE w:val="0"/>
        <w:widowControl/>
        <w:spacing w:line="240" w:lineRule="auto" w:before="60" w:after="576"/>
        <w:ind w:left="6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862330</wp:posOffset>
            </wp:positionV>
            <wp:extent cx="11121390" cy="1206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139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379"/>
        <w:gridCol w:w="3379"/>
        <w:gridCol w:w="3379"/>
        <w:gridCol w:w="3379"/>
        <w:gridCol w:w="3379"/>
      </w:tblGrid>
      <w:tr>
        <w:trPr>
          <w:trHeight w:hRule="exact" w:val="993"/>
        </w:trPr>
        <w:tc>
          <w:tcPr>
            <w:tcW w:type="dxa" w:w="15676"/>
            <w:gridSpan w:val="5"/>
            <w:vMerge w:val="restart"/>
            <w:tcBorders>
              <w:end w:sz="12.800000000000182" w:val="single" w:color="#FFFFFF"/>
              <w:bottom w:sz="12.799999999999955" w:val="single" w:color="#FFFFFF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18" w:after="0"/>
              <w:ind w:left="62" w:right="0" w:firstLine="0"/>
              <w:jc w:val="left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000000"/>
                <w:sz w:val="20"/>
              </w:rPr>
              <w:t>Projeto</w:t>
            </w:r>
          </w:p>
          <w:p>
            <w:pPr>
              <w:autoSpaceDN w:val="0"/>
              <w:autoSpaceDE w:val="0"/>
              <w:widowControl/>
              <w:spacing w:line="202" w:lineRule="auto" w:before="418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000000"/>
                <w:sz w:val="20"/>
              </w:rPr>
              <w:t>Descrição</w:t>
            </w:r>
          </w:p>
          <w:p>
            <w:pPr>
              <w:autoSpaceDN w:val="0"/>
              <w:autoSpaceDE w:val="0"/>
              <w:widowControl/>
              <w:spacing w:line="202" w:lineRule="auto" w:before="418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FFFFFF"/>
                <w:sz w:val="20"/>
              </w:rPr>
              <w:t>Data Início</w:t>
            </w:r>
          </w:p>
          <w:p>
            <w:pPr>
              <w:autoSpaceDN w:val="0"/>
              <w:autoSpaceDE w:val="0"/>
              <w:widowControl/>
              <w:spacing w:line="202" w:lineRule="auto" w:before="418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FFFFFF"/>
                <w:sz w:val="20"/>
              </w:rPr>
              <w:t>Data Fim</w:t>
            </w:r>
          </w:p>
          <w:p>
            <w:pPr>
              <w:autoSpaceDN w:val="0"/>
              <w:autoSpaceDE w:val="0"/>
              <w:widowControl/>
              <w:spacing w:line="202" w:lineRule="auto" w:before="388" w:after="0"/>
              <w:ind w:left="62" w:right="0" w:firstLine="0"/>
              <w:jc w:val="left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FFFFFF"/>
                <w:sz w:val="20"/>
              </w:rPr>
              <w:t>Manual Fiscalização A&amp;E</w:t>
            </w:r>
          </w:p>
          <w:p>
            <w:pPr>
              <w:autoSpaceDN w:val="0"/>
              <w:autoSpaceDE w:val="0"/>
              <w:widowControl/>
              <w:spacing w:line="199" w:lineRule="auto" w:before="878" w:after="0"/>
              <w:ind w:left="30" w:right="0" w:firstLine="0"/>
              <w:jc w:val="left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Documentos que visam garantir uniformidade e transparência aos procedimentos de fiscalização</w:t>
            </w:r>
          </w:p>
          <w:p>
            <w:pPr>
              <w:autoSpaceDN w:val="0"/>
              <w:autoSpaceDE w:val="0"/>
              <w:widowControl/>
              <w:spacing w:line="202" w:lineRule="auto" w:before="388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jan/24</w:t>
            </w:r>
          </w:p>
          <w:p>
            <w:pPr>
              <w:autoSpaceDN w:val="0"/>
              <w:autoSpaceDE w:val="0"/>
              <w:widowControl/>
              <w:spacing w:line="202" w:lineRule="auto" w:before="388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dez/24</w:t>
            </w:r>
          </w:p>
          <w:p>
            <w:pPr>
              <w:autoSpaceDN w:val="0"/>
              <w:autoSpaceDE w:val="0"/>
              <w:widowControl/>
              <w:spacing w:line="199" w:lineRule="auto" w:before="390" w:after="0"/>
              <w:ind w:left="62" w:right="0" w:firstLine="0"/>
              <w:jc w:val="left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FFFFFF"/>
                <w:sz w:val="20"/>
              </w:rPr>
              <w:t>Manual Fiscalização RSU</w:t>
            </w:r>
          </w:p>
          <w:p>
            <w:pPr>
              <w:autoSpaceDN w:val="0"/>
              <w:autoSpaceDE w:val="0"/>
              <w:widowControl/>
              <w:spacing w:line="199" w:lineRule="auto" w:before="390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jul/24</w:t>
            </w:r>
          </w:p>
          <w:p>
            <w:pPr>
              <w:autoSpaceDN w:val="0"/>
              <w:autoSpaceDE w:val="0"/>
              <w:widowControl/>
              <w:spacing w:line="199" w:lineRule="auto" w:before="390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jun/25</w:t>
            </w:r>
          </w:p>
          <w:p>
            <w:pPr>
              <w:autoSpaceDN w:val="0"/>
              <w:autoSpaceDE w:val="0"/>
              <w:widowControl/>
              <w:spacing w:line="199" w:lineRule="auto" w:before="390" w:after="0"/>
              <w:ind w:left="62" w:right="0" w:firstLine="0"/>
              <w:jc w:val="left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FFFFFF"/>
                <w:sz w:val="20"/>
              </w:rPr>
              <w:t>Manual Avaliação Investimentos</w:t>
            </w:r>
          </w:p>
          <w:p>
            <w:pPr>
              <w:autoSpaceDN w:val="0"/>
              <w:autoSpaceDE w:val="0"/>
              <w:widowControl/>
              <w:spacing w:line="245" w:lineRule="auto" w:before="122" w:after="0"/>
              <w:ind w:left="30" w:right="340" w:firstLine="0"/>
              <w:jc w:val="both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 xml:space="preserve">Documento orientado a balizar a forma de apresentação e análise dos projetos de investimentos </w:t>
            </w: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 xml:space="preserve">requisitados pelos prestadores públicos de serviços de saneamento para composição da receita </w:t>
            </w: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requerida em processos de Revisão Tarifária</w:t>
            </w:r>
          </w:p>
          <w:p>
            <w:pPr>
              <w:autoSpaceDN w:val="0"/>
              <w:autoSpaceDE w:val="0"/>
              <w:widowControl/>
              <w:spacing w:line="199" w:lineRule="auto" w:before="390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jul/24</w:t>
            </w:r>
          </w:p>
          <w:p>
            <w:pPr>
              <w:autoSpaceDN w:val="0"/>
              <w:autoSpaceDE w:val="0"/>
              <w:widowControl/>
              <w:spacing w:line="199" w:lineRule="auto" w:before="390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jun/25</w:t>
            </w:r>
          </w:p>
          <w:p>
            <w:pPr>
              <w:autoSpaceDN w:val="0"/>
              <w:autoSpaceDE w:val="0"/>
              <w:widowControl/>
              <w:spacing w:line="202" w:lineRule="auto" w:before="388" w:after="0"/>
              <w:ind w:left="62" w:right="0" w:firstLine="0"/>
              <w:jc w:val="left"/>
            </w:pPr>
            <w:r>
              <w:rPr>
                <w:w w:val="102.39181518554688"/>
                <w:rFonts w:ascii="Bahnschrift" w:hAnsi="Bahnschrift" w:eastAsia="Bahnschrift"/>
                <w:b/>
                <w:i w:val="0"/>
                <w:color w:val="FFFFFF"/>
                <w:sz w:val="20"/>
              </w:rPr>
              <w:t>Guia Metodológico de Revisão Tarifária</w:t>
            </w:r>
          </w:p>
          <w:p>
            <w:pPr>
              <w:autoSpaceDN w:val="0"/>
              <w:autoSpaceDE w:val="0"/>
              <w:widowControl/>
              <w:spacing w:line="245" w:lineRule="auto" w:before="262" w:after="0"/>
              <w:ind w:left="30" w:right="288" w:firstLine="0"/>
              <w:jc w:val="left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 xml:space="preserve">Documento de apoio à aplicação da Resolução ARES-PCJ nº 435/2022, descrevendo os principais </w:t>
            </w: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elementos de análise retrospectiva e prospectiva</w:t>
            </w:r>
          </w:p>
          <w:p>
            <w:pPr>
              <w:autoSpaceDN w:val="0"/>
              <w:autoSpaceDE w:val="0"/>
              <w:widowControl/>
              <w:spacing w:line="202" w:lineRule="auto" w:before="388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jan/24</w:t>
            </w:r>
          </w:p>
          <w:p>
            <w:pPr>
              <w:autoSpaceDN w:val="0"/>
              <w:autoSpaceDE w:val="0"/>
              <w:widowControl/>
              <w:spacing w:line="202" w:lineRule="auto" w:before="388" w:after="0"/>
              <w:ind w:left="0" w:right="0" w:firstLine="0"/>
              <w:jc w:val="center"/>
            </w:pPr>
            <w:r>
              <w:rPr>
                <w:w w:val="102.39181518554688"/>
                <w:rFonts w:ascii="Bahnschrift" w:hAnsi="Bahnschrift" w:eastAsia="Bahnschrift"/>
                <w:b w:val="0"/>
                <w:i w:val="0"/>
                <w:color w:val="000000"/>
                <w:sz w:val="20"/>
              </w:rPr>
              <w:t>dez/24</w:t>
            </w:r>
          </w:p>
        </w:tc>
      </w:tr>
      <w:tr>
        <w:trPr>
          <w:trHeight w:hRule="exact" w:val="978"/>
        </w:trPr>
        <w:tc>
          <w:tcPr>
            <w:tcW w:type="dxa" w:w="19009"/>
            <w:gridSpan w:val="5"/>
            <w:vMerge/>
            <w:tcBorders>
              <w:top w:sz="12.799999999999955" w:val="single" w:color="#FFFFFF"/>
              <w:end w:sz="12.800000000000182" w:val="single" w:color="#FFFFFF"/>
              <w:bottom w:sz="12.0" w:val="single" w:color="#FFFFFF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8"/>
        </w:trPr>
        <w:tc>
          <w:tcPr>
            <w:tcW w:type="dxa" w:w="13220"/>
            <w:gridSpan w:val="5"/>
            <w:vMerge/>
            <w:tcBorders>
              <w:top w:sz="12.0" w:val="single" w:color="#FFFFFF"/>
              <w:end w:sz="12.800000000000182" w:val="single" w:color="#FFFFFF"/>
              <w:bottom w:sz="12.0" w:val="single" w:color="#FFFFFF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6"/>
        </w:trPr>
        <w:tc>
          <w:tcPr>
            <w:tcW w:type="dxa" w:w="19009"/>
            <w:gridSpan w:val="5"/>
            <w:vMerge/>
            <w:tcBorders>
              <w:top w:sz="12.0" w:val="single" w:color="#FFFFFF"/>
              <w:end w:sz="12.800000000000182" w:val="single" w:color="#FFFFFF"/>
              <w:bottom w:sz="12.799999999999727" w:val="single" w:color="#FFFFFF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8"/>
        </w:trPr>
        <w:tc>
          <w:tcPr>
            <w:tcW w:type="dxa" w:w="19009"/>
            <w:gridSpan w:val="5"/>
            <w:vMerge/>
            <w:tcBorders>
              <w:top w:sz="12.799999999999727" w:val="single" w:color="#FFFFFF"/>
              <w:end w:sz="12.800000000000182" w:val="single" w:color="#FFFFFF"/>
              <w:bottom w:sz="12.800000000000182" w:val="single" w:color="#FFFFFF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"/>
        </w:trPr>
        <w:tc>
          <w:tcPr>
            <w:tcW w:type="dxa" w:w="15676"/>
            <w:gridSpan w:val="5"/>
            <w:vMerge/>
            <w:tcBorders>
              <w:top w:sz="12.800000000000182" w:val="single" w:color="#FFFFFF"/>
              <w:bottom w:sz="48.0" w:val="single" w:color="#F6F5EA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8180" w:val="left"/>
        </w:tabs>
        <w:autoSpaceDE w:val="0"/>
        <w:widowControl/>
        <w:spacing w:line="240" w:lineRule="auto" w:before="97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-58419</wp:posOffset>
            </wp:positionH>
            <wp:positionV relativeFrom="page">
              <wp:posOffset>5110480</wp:posOffset>
            </wp:positionV>
            <wp:extent cx="1562100" cy="180086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0086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Bahnschrift" w:hAnsi="Bahnschrift" w:eastAsia="Bahnschrift"/>
          <w:b/>
          <w:i w:val="0"/>
          <w:color w:val="FFFFFF"/>
          <w:sz w:val="40"/>
        </w:rPr>
        <w:t>8</w:t>
      </w:r>
    </w:p>
    <w:p>
      <w:pPr>
        <w:sectPr>
          <w:pgSz w:w="19200" w:h="10800"/>
          <w:pgMar w:top="330" w:right="86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10704830</wp:posOffset>
            </wp:positionH>
            <wp:positionV relativeFrom="page">
              <wp:posOffset>5119370</wp:posOffset>
            </wp:positionV>
            <wp:extent cx="1540510" cy="179574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7957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636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64"/>
        </w:rPr>
        <w:t xml:space="preserve">Estudos e </w:t>
      </w:r>
      <w:r>
        <w:rPr>
          <w:rFonts w:ascii="Bahnschrift" w:hAnsi="Bahnschrift" w:eastAsia="Bahnschrift"/>
          <w:b/>
          <w:i w:val="0"/>
          <w:color w:val="ED7D31"/>
          <w:sz w:val="64"/>
        </w:rPr>
        <w:t>Publicações</w:t>
      </w:r>
    </w:p>
    <w:p>
      <w:pPr>
        <w:autoSpaceDN w:val="0"/>
        <w:autoSpaceDE w:val="0"/>
        <w:widowControl/>
        <w:spacing w:line="240" w:lineRule="auto" w:before="60" w:after="204"/>
        <w:ind w:left="6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862330</wp:posOffset>
            </wp:positionV>
            <wp:extent cx="11121390" cy="1206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1390" cy="120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6.0" w:type="dxa"/>
      </w:tblPr>
      <w:tblGrid>
        <w:gridCol w:w="5625"/>
        <w:gridCol w:w="5625"/>
        <w:gridCol w:w="5625"/>
      </w:tblGrid>
      <w:tr>
        <w:trPr>
          <w:trHeight w:hRule="exact" w:val="9112"/>
        </w:trPr>
        <w:tc>
          <w:tcPr>
            <w:tcW w:type="dxa" w:w="3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9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-58419</wp:posOffset>
                  </wp:positionH>
                  <wp:positionV relativeFrom="page">
                    <wp:posOffset>5110480</wp:posOffset>
                  </wp:positionV>
                  <wp:extent cx="1562100" cy="180086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008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7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2345690</wp:posOffset>
                  </wp:positionH>
                  <wp:positionV relativeFrom="page">
                    <wp:posOffset>1150620</wp:posOffset>
                  </wp:positionV>
                  <wp:extent cx="7551419" cy="4607559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419" cy="4607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06" w:after="0"/>
              <w:ind w:left="0" w:right="6" w:firstLine="0"/>
              <w:jc w:val="right"/>
            </w:pPr>
            <w:r>
              <w:rPr>
                <w:rFonts w:ascii="Bahnschrift" w:hAnsi="Bahnschrift" w:eastAsia="Bahnschrift"/>
                <w:b/>
                <w:i w:val="0"/>
                <w:color w:val="FFFFFF"/>
                <w:sz w:val="4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330" w:right="886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05"/>
        <w:gridCol w:w="8505"/>
      </w:tblGrid>
      <w:tr>
        <w:trPr>
          <w:trHeight w:hRule="exact" w:val="3156"/>
        </w:trPr>
        <w:tc>
          <w:tcPr>
            <w:tcW w:type="dxa" w:w="15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2" w:after="0"/>
              <w:ind w:left="0" w:right="8784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ED7D31"/>
                <w:sz w:val="32"/>
              </w:rPr>
              <w:t xml:space="preserve">Agenda Regulatória ARES-PCJ 2024 – 2025 </w:t>
            </w:r>
            <w:r>
              <w:br/>
            </w:r>
            <w:r>
              <w:rPr>
                <w:rFonts w:ascii="Bahnschrift" w:hAnsi="Bahnschrift" w:eastAsia="Bahnschrift"/>
                <w:b/>
                <w:i w:val="0"/>
                <w:color w:val="ED7D31"/>
                <w:sz w:val="32"/>
              </w:rPr>
              <w:t>Versão 01 – 06/12/2023</w:t>
            </w:r>
          </w:p>
          <w:p>
            <w:pPr>
              <w:autoSpaceDN w:val="0"/>
              <w:autoSpaceDE w:val="0"/>
              <w:widowControl/>
              <w:spacing w:line="199" w:lineRule="auto" w:before="390" w:after="0"/>
              <w:ind w:left="0" w:right="0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28"/>
              </w:rPr>
              <w:t>Agência Reguladora dos Serviços de Saneamento das Bacias dos Rios Piracicaba, Capivari e Jundiaí (ARES-PCJ)</w:t>
            </w:r>
          </w:p>
          <w:p>
            <w:pPr>
              <w:autoSpaceDN w:val="0"/>
              <w:autoSpaceDE w:val="0"/>
              <w:widowControl/>
              <w:spacing w:line="245" w:lineRule="auto" w:before="392" w:after="0"/>
              <w:ind w:left="0" w:right="8928" w:firstLine="0"/>
              <w:jc w:val="left"/>
            </w:pPr>
            <w:r>
              <w:rPr>
                <w:rFonts w:ascii="Bahnschrift" w:hAnsi="Bahnschrift" w:eastAsia="Bahnschrift"/>
                <w:b/>
                <w:i w:val="0"/>
                <w:color w:val="0070C0"/>
                <w:sz w:val="28"/>
              </w:rPr>
              <w:t xml:space="preserve">Presidente </w:t>
            </w:r>
            <w:r>
              <w:rPr>
                <w:rFonts w:ascii="Bahnschrift" w:hAnsi="Bahnschrift" w:eastAsia="Bahnschrift"/>
                <w:b w:val="0"/>
                <w:i w:val="0"/>
                <w:color w:val="0070C0"/>
                <w:sz w:val="28"/>
              </w:rPr>
              <w:t xml:space="preserve">(abr/23 – dez/24) </w:t>
            </w:r>
            <w:r>
              <w:br/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28"/>
              </w:rPr>
              <w:t>Lucimara Rossi de Godoy (Prefeita de Valinhos)</w:t>
            </w:r>
          </w:p>
        </w:tc>
        <w:tc>
          <w:tcPr>
            <w:tcW w:type="dxa" w:w="3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10601960</wp:posOffset>
                  </wp:positionH>
                  <wp:positionV relativeFrom="page">
                    <wp:posOffset>-40640</wp:posOffset>
                  </wp:positionV>
                  <wp:extent cx="1643380" cy="1814829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8148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32" w:after="0"/>
        <w:ind w:left="0" w:right="11952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 xml:space="preserve">1º Vice Presidente </w:t>
      </w:r>
      <w:r>
        <w:rPr>
          <w:rFonts w:ascii="Bahnschrift" w:hAnsi="Bahnschrift" w:eastAsia="Bahnschrift"/>
          <w:b w:val="0"/>
          <w:i w:val="0"/>
          <w:color w:val="0070C0"/>
          <w:sz w:val="28"/>
        </w:rPr>
        <w:t xml:space="preserve">(abr/23 – dez/24) </w:t>
      </w:r>
      <w:r>
        <w:br/>
      </w:r>
      <w:r>
        <w:rPr>
          <w:rFonts w:ascii="Bahnschrift" w:hAnsi="Bahnschrift" w:eastAsia="Bahnschrift"/>
          <w:b w:val="0"/>
          <w:i w:val="0"/>
          <w:color w:val="000000"/>
          <w:sz w:val="28"/>
        </w:rPr>
        <w:t>Francisco Antonio Sardelli (Prefeito de Americana)</w:t>
      </w:r>
    </w:p>
    <w:p>
      <w:pPr>
        <w:autoSpaceDN w:val="0"/>
        <w:autoSpaceDE w:val="0"/>
        <w:widowControl/>
        <w:spacing w:line="245" w:lineRule="auto" w:before="392" w:after="0"/>
        <w:ind w:left="0" w:right="12528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 xml:space="preserve">2º Vice Presidente </w:t>
      </w:r>
      <w:r>
        <w:rPr>
          <w:rFonts w:ascii="Bahnschrift" w:hAnsi="Bahnschrift" w:eastAsia="Bahnschrift"/>
          <w:b w:val="0"/>
          <w:i w:val="0"/>
          <w:color w:val="0070C0"/>
          <w:sz w:val="28"/>
        </w:rPr>
        <w:t xml:space="preserve">(abr/23 – dez/24) </w:t>
      </w:r>
      <w:r>
        <w:br/>
      </w:r>
      <w:r>
        <w:rPr>
          <w:rFonts w:ascii="Bahnschrift" w:hAnsi="Bahnschrift" w:eastAsia="Bahnschrift"/>
          <w:b w:val="0"/>
          <w:i w:val="0"/>
          <w:color w:val="000000"/>
          <w:sz w:val="28"/>
        </w:rPr>
        <w:t>Dario Pacheco de Morais (Prefeito de Vinhedo)</w:t>
      </w:r>
    </w:p>
    <w:p>
      <w:pPr>
        <w:autoSpaceDN w:val="0"/>
        <w:autoSpaceDE w:val="0"/>
        <w:widowControl/>
        <w:spacing w:line="202" w:lineRule="auto" w:before="392" w:after="0"/>
        <w:ind w:left="0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>Diretoria Executiva:</w:t>
      </w:r>
    </w:p>
    <w:p>
      <w:pPr>
        <w:autoSpaceDN w:val="0"/>
        <w:autoSpaceDE w:val="0"/>
        <w:widowControl/>
        <w:spacing w:line="245" w:lineRule="auto" w:before="390" w:after="0"/>
        <w:ind w:left="0" w:right="10368" w:firstLine="0"/>
        <w:jc w:val="left"/>
      </w:pPr>
      <w:r>
        <w:rPr>
          <w:rFonts w:ascii="Bahnschrift" w:hAnsi="Bahnschrift" w:eastAsia="Bahnschrift"/>
          <w:b w:val="0"/>
          <w:i w:val="0"/>
          <w:color w:val="000000"/>
          <w:sz w:val="28"/>
        </w:rPr>
        <w:t xml:space="preserve">Dalto Favero Brochi – Diretor Geral </w:t>
      </w:r>
      <w:r>
        <w:br/>
      </w:r>
      <w:r>
        <w:rPr>
          <w:rFonts w:ascii="Bahnschrift" w:hAnsi="Bahnschrift" w:eastAsia="Bahnschrift"/>
          <w:b w:val="0"/>
          <w:i w:val="0"/>
          <w:color w:val="000000"/>
          <w:sz w:val="28"/>
        </w:rPr>
        <w:t xml:space="preserve">Carlos Roberto Belani Gravina – Diretor Técnico-Operacional </w:t>
      </w:r>
      <w:r>
        <w:br/>
      </w:r>
      <w:r>
        <w:rPr>
          <w:rFonts w:ascii="Bahnschrift" w:hAnsi="Bahnschrift" w:eastAsia="Bahnschrift"/>
          <w:b w:val="0"/>
          <w:i w:val="0"/>
          <w:color w:val="000000"/>
          <w:sz w:val="28"/>
        </w:rPr>
        <w:t>Carlos Roberto de Oliveira – Diretor Administrativo e Financeiro</w:t>
      </w:r>
    </w:p>
    <w:p>
      <w:pPr>
        <w:autoSpaceDN w:val="0"/>
        <w:autoSpaceDE w:val="0"/>
        <w:widowControl/>
        <w:spacing w:line="202" w:lineRule="auto" w:before="390" w:after="264"/>
        <w:ind w:left="0" w:right="0" w:firstLine="0"/>
        <w:jc w:val="left"/>
      </w:pPr>
      <w:r>
        <w:rPr>
          <w:rFonts w:ascii="Bahnschrift" w:hAnsi="Bahnschrift" w:eastAsia="Bahnschrift"/>
          <w:b/>
          <w:i w:val="0"/>
          <w:color w:val="0070C0"/>
          <w:sz w:val="28"/>
        </w:rPr>
        <w:t>Coordenação e Elaboração: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05"/>
        <w:gridCol w:w="8505"/>
      </w:tblGrid>
      <w:tr>
        <w:trPr>
          <w:trHeight w:hRule="exact" w:val="2862"/>
        </w:trPr>
        <w:tc>
          <w:tcPr>
            <w:tcW w:type="dxa" w:w="12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0" w:right="3312" w:firstLine="0"/>
              <w:jc w:val="left"/>
            </w:pPr>
            <w:r>
              <w:rPr>
                <w:rFonts w:ascii="Bahnschrift" w:hAnsi="Bahnschrift" w:eastAsia="Bahnschrift"/>
                <w:b w:val="0"/>
                <w:i w:val="0"/>
                <w:color w:val="000000"/>
                <w:sz w:val="28"/>
              </w:rPr>
              <w:t xml:space="preserve">Rodrigo de Oliveira Taufic – Coordenador de Regulação </w:t>
            </w:r>
            <w:r>
              <w:br/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28"/>
              </w:rPr>
              <w:t xml:space="preserve">Aline Aparecida Antunes Cornetti – Analista de Fiscalização e Regulação </w:t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28"/>
              </w:rPr>
              <w:t xml:space="preserve">André Rodrigues Felipini – Analista de Fiscalização e Regulação </w:t>
            </w:r>
            <w:r>
              <w:br/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28"/>
              </w:rPr>
              <w:t xml:space="preserve">Luís Davi – Estagiário </w:t>
            </w:r>
            <w:r>
              <w:br/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28"/>
              </w:rPr>
              <w:t xml:space="preserve">Marina Cassiano – Assistente Administrativa </w:t>
            </w:r>
            <w:r>
              <w:br/>
            </w:r>
            <w:r>
              <w:rPr>
                <w:rFonts w:ascii="Bahnschrift" w:hAnsi="Bahnschrift" w:eastAsia="Bahnschrift"/>
                <w:b w:val="0"/>
                <w:i w:val="0"/>
                <w:color w:val="000000"/>
                <w:sz w:val="28"/>
              </w:rPr>
              <w:t>Paulo Marcos Faria Maciel – Analista de Fiscalização e Regulação</w:t>
            </w:r>
          </w:p>
        </w:tc>
        <w:tc>
          <w:tcPr>
            <w:tcW w:type="dxa" w:w="5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10601960</wp:posOffset>
                  </wp:positionH>
                  <wp:positionV relativeFrom="page">
                    <wp:posOffset>5119370</wp:posOffset>
                  </wp:positionV>
                  <wp:extent cx="1643380" cy="179197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7919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9200" w:h="10800"/>
      <w:pgMar w:top="0" w:right="0" w:bottom="0" w:left="7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yperlink" Target="https://participacao-social.ana.gov.br/Consulta/157" TargetMode="External"/><Relationship Id="rId27" Type="http://schemas.openxmlformats.org/officeDocument/2006/relationships/hyperlink" Target="https://participacao-social.ana.gov.br/Consulta/148" TargetMode="External"/><Relationship Id="rId28" Type="http://schemas.openxmlformats.org/officeDocument/2006/relationships/hyperlink" Target="https://participacao-social.ana.gov.br/Consulta/104" TargetMode="External"/><Relationship Id="rId29" Type="http://schemas.openxmlformats.org/officeDocument/2006/relationships/hyperlink" Target="https://participacao-social.ana.gov.br/Consulta/165" TargetMode="External"/><Relationship Id="rId30" Type="http://schemas.openxmlformats.org/officeDocument/2006/relationships/hyperlink" Target="https://participacao-social.ana.gov.br/Consulta/108" TargetMode="External"/><Relationship Id="rId31" Type="http://schemas.openxmlformats.org/officeDocument/2006/relationships/hyperlink" Target="https://participacao-social.ana.gov.br/Consulta/124" TargetMode="External"/><Relationship Id="rId32" Type="http://schemas.openxmlformats.org/officeDocument/2006/relationships/hyperlink" Target="https://participacao-social.ana.gov.br/Consulta/138" TargetMode="External"/><Relationship Id="rId33" Type="http://schemas.openxmlformats.org/officeDocument/2006/relationships/hyperlink" Target="https://participacao-social.ana.gov.br/Consulta/150" TargetMode="External"/><Relationship Id="rId34" Type="http://schemas.openxmlformats.org/officeDocument/2006/relationships/hyperlink" Target="https://participacao-social.ana.gov.br/Consulta/146" TargetMode="External"/><Relationship Id="rId35" Type="http://schemas.openxmlformats.org/officeDocument/2006/relationships/hyperlink" Target="https://participacao-social.ana.gov.br/Consulta/140" TargetMode="External"/><Relationship Id="rId36" Type="http://schemas.openxmlformats.org/officeDocument/2006/relationships/image" Target="media/image18.png"/><Relationship Id="rId37" Type="http://schemas.openxmlformats.org/officeDocument/2006/relationships/hyperlink" Target="https://www.gov.br/ana/pt-br/assuntos/saneamento-basico/agenda-regulat&#243;ria" TargetMode="External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