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9792970</wp:posOffset>
            </wp:positionV>
            <wp:extent cx="7595870" cy="96786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9678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555, DE 14 DE MAIO DE 2024 </w:t>
      </w:r>
    </w:p>
    <w:p>
      <w:pPr>
        <w:autoSpaceDN w:val="0"/>
        <w:autoSpaceDE w:val="0"/>
        <w:widowControl/>
        <w:spacing w:line="245" w:lineRule="auto" w:before="93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Revoga o §1º e altera a redação do caput do art. 24,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ANEXO A, da Resolução ARES-PCJ nº 145, de </w:t>
      </w:r>
      <w:r>
        <w:rPr>
          <w:rFonts w:ascii="Calibri" w:hAnsi="Calibri" w:eastAsia="Calibri"/>
          <w:b w:val="0"/>
          <w:i/>
          <w:color w:val="000000"/>
          <w:sz w:val="24"/>
        </w:rPr>
        <w:t>19/07/2016, que aprovou 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Regulamento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Prestação dos Serviços de Abastecimento de Água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do Município de Campinas, e 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da Cláusula 32ª, inciso III, do Protocolo de Intenções,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do artigo 28, inciso III, do Estatuto Social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do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da Lei municipal nº 14.241, de 10/04/2012,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 ratificou o Protocolo de Intenções da ARES-PCJ, delegando 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de abastecimento de água e esgotamento sanitário;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art. 23 da Lei federal nº 11.445</w:t>
      </w:r>
      <w:r>
        <w:rPr>
          <w:rFonts w:ascii="Calibri" w:hAnsi="Calibri" w:eastAsia="Calibri"/>
          <w:b w:val="0"/>
          <w:i w:val="0"/>
          <w:color w:val="000000"/>
          <w:sz w:val="24"/>
        </w:rPr>
        <w:t>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define os aspectos normativos em que as agências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reguladoras editarão normas relativas às dimensões técnica, econômica e social de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50/2014, em especial nos arts. 45 e 46,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delimitam a forma e a obrigação do prestador de serviços de saneamento básico em editar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visando a divulgação do padrão normativo aos usuários;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S.A. – SANASA CAMPINAS </w:t>
      </w:r>
      <w:r>
        <w:rPr>
          <w:rFonts w:ascii="Calibri" w:hAnsi="Calibri" w:eastAsia="Calibri"/>
          <w:b w:val="0"/>
          <w:i w:val="0"/>
          <w:color w:val="000000"/>
          <w:sz w:val="24"/>
        </w:rPr>
        <w:t>solicitou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alteração do Regulamento de Serviços (Anexo A da Resolução ARES-PCJ nº 145/2016), através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e-mail, a fim de tornar facultativa a faixa “non aedificandi" na servidão para a passagem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tubulações de água e esgoto em empreendimentos, e excluir a obrigatoriedade do traçado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vielas sanitárias para a passagem de tubulações de esgoto quando a declividade da quadra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exceder a 2% (dois por cento) no sentido da profundidade dos lotes;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14 de maio de 2024;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9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555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41"/>
          <w:pgMar w:top="282" w:right="1056" w:bottom="51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9792970</wp:posOffset>
            </wp:positionV>
            <wp:extent cx="7595870" cy="96786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9678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Alterar a redação do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24, do ANEXO A, da Resolução ARES-PCJ nº 145,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19/07/2016, que passa a 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85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24 - Nos empreendimentos poderá se prevista faixa “non aedificandi", reservada à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servidão para a passagem de tubulações de água e esgoto em dimensões a serem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definidas em normas da SANASA, de modo a garantir sua implantação e manutenção.”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Revogar o §1º do art. 24, do ANEXO A, da Resolução ARES-PCJ nº 145, de 19/07/2016.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Esta Resolução entrará em vigor na data de sua publicação.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77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555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sectPr w:rsidR="00FC693F" w:rsidRPr="0006063C" w:rsidSect="00034616">
      <w:pgSz w:w="11906" w:h="16841"/>
      <w:pgMar w:top="282" w:right="1056" w:bottom="51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