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557, DE 14 DE MAIO DE 2024</w:t>
      </w:r>
    </w:p>
    <w:p>
      <w:pPr>
        <w:autoSpaceDN w:val="0"/>
        <w:autoSpaceDE w:val="0"/>
        <w:widowControl/>
        <w:spacing w:line="245" w:lineRule="auto" w:before="638" w:after="0"/>
        <w:ind w:left="4820" w:right="156" w:firstLine="6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Abastecimento de Água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e Atendimento 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Itapira,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</w:p>
    <w:p>
      <w:pPr>
        <w:autoSpaceDN w:val="0"/>
        <w:autoSpaceDE w:val="0"/>
        <w:widowControl/>
        <w:spacing w:line="245" w:lineRule="auto" w:before="346" w:after="0"/>
        <w:ind w:left="0" w:right="1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de Intenções da ARES-PCJ, convertido em Contrato de Consórcio Público, e o artigo 28,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1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através das premissas constantes na Lei federal nº 11.445, de 05 de janeiro de 2007,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Decreto federal nº 7.217, de 21 de junho de 2010, e na Lei municipal nº 5.770, de 24 de abril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2019, o Município de Itapira/SP ratificou o Protocolo de Intenções que instituiu a Agência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 PCJ, delegando à esta as competências municipais de regulação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1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nos artigos 23 e 27 da Lei federal nº 11.445/2007, que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artigos 45 e 46, que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Serviços,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Serviço Autônomo de Água e Esgotos de Itapira – SAAE,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Itapira/SP,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Regulamento, disciplinando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ARES-PCJ, através da Nota Técnica nº 07/2024,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apresentado pelo SAAE atende aos conteúdos mínimos estabelecidos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50/2014, cumprindo todas as ressalvas;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14 de maio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02" w:right="920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Fica ratificado o teor da Nota Técnica nº 07/2024,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Itapira,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conteúdo em sua íntegra está inserido no Anexo A da presente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Serviço Autônomo de Água e Esgotos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Itapira – SAAE deverá disponibilizar nos locais de atendimento e de fácil visualização e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em seu sítio eletrônico, ou em outros meios de comunicação,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homologado, conforme preconiza o art. 46 da Resolução ARES-PCJ nº 50/2014, para imediata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82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557, DE 14 DE MAIO DE 2024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572" w:after="0"/>
        <w:ind w:left="0" w:right="389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768" w:after="0"/>
        <w:ind w:left="10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AUTÔNOMO DE ÁGUA E ESGOTOS DE ITAPIRA – SAAE </w:t>
      </w:r>
    </w:p>
    <w:p>
      <w:pPr>
        <w:autoSpaceDN w:val="0"/>
        <w:autoSpaceDE w:val="0"/>
        <w:widowControl/>
        <w:spacing w:line="240" w:lineRule="auto" w:before="1614" w:after="0"/>
        <w:ind w:left="163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4798060</wp:posOffset>
            </wp:positionV>
            <wp:extent cx="3860800" cy="252476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524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12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10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02" w:right="1320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autoSpaceDE w:val="0"/>
        <w:widowControl/>
        <w:spacing w:line="324" w:lineRule="auto" w:before="34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....................................................................................................................................................6 </w:t>
      </w:r>
      <w:r>
        <w:rPr>
          <w:rFonts w:ascii="Calibri" w:hAnsi="Calibri" w:eastAsia="Calibri"/>
          <w:b/>
          <w:i w:val="0"/>
          <w:color w:val="000000"/>
          <w:sz w:val="22"/>
        </w:rPr>
        <w:t>DO OBJETIVO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................................................................................................................................................6 </w:t>
      </w:r>
      <w:r>
        <w:rPr>
          <w:rFonts w:ascii="Calibri" w:hAnsi="Calibri" w:eastAsia="Calibri"/>
          <w:b/>
          <w:i w:val="0"/>
          <w:color w:val="000000"/>
          <w:sz w:val="22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...................................................................................................................................................6 </w:t>
      </w:r>
      <w:r>
        <w:rPr>
          <w:rFonts w:ascii="Calibri" w:hAnsi="Calibri" w:eastAsia="Calibri"/>
          <w:b/>
          <w:i w:val="0"/>
          <w:color w:val="000000"/>
          <w:sz w:val="22"/>
        </w:rPr>
        <w:t>DA TERMINOLOGIA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.......................................................................................................................................6 </w:t>
      </w:r>
      <w:r>
        <w:rPr>
          <w:rFonts w:ascii="Calibri" w:hAnsi="Calibri" w:eastAsia="Calibri"/>
          <w:b/>
          <w:i w:val="0"/>
          <w:color w:val="000000"/>
          <w:sz w:val="22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..................................................................................................................................................8 </w:t>
      </w:r>
      <w:r>
        <w:rPr>
          <w:rFonts w:ascii="Calibri" w:hAnsi="Calibri" w:eastAsia="Calibri"/>
          <w:b/>
          <w:i w:val="0"/>
          <w:color w:val="000000"/>
          <w:sz w:val="22"/>
        </w:rPr>
        <w:t>DAS COMPETÊNCIAS DO SAAE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.....................................................................................................................8 </w:t>
      </w:r>
      <w:r>
        <w:rPr>
          <w:rFonts w:ascii="Calibri" w:hAnsi="Calibri" w:eastAsia="Calibri"/>
          <w:b/>
          <w:i w:val="0"/>
          <w:color w:val="000000"/>
          <w:sz w:val="22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..................................................................................................................................................9 </w:t>
      </w:r>
      <w:r>
        <w:rPr>
          <w:rFonts w:ascii="Calibri" w:hAnsi="Calibri" w:eastAsia="Calibri"/>
          <w:b/>
          <w:i w:val="0"/>
          <w:color w:val="000000"/>
          <w:sz w:val="22"/>
        </w:rPr>
        <w:t>DO ATENDIMENTO AO PÚBLICO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..................................................................................................................9 </w:t>
      </w:r>
      <w:r>
        <w:rPr>
          <w:rFonts w:ascii="Calibri" w:hAnsi="Calibri" w:eastAsia="Calibri"/>
          <w:b/>
          <w:i w:val="0"/>
          <w:color w:val="000000"/>
          <w:sz w:val="22"/>
        </w:rPr>
        <w:t>CAPÍTULO 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10 </w:t>
      </w:r>
      <w:r>
        <w:rPr>
          <w:rFonts w:ascii="Calibri" w:hAnsi="Calibri" w:eastAsia="Calibri"/>
          <w:b/>
          <w:i w:val="0"/>
          <w:color w:val="000000"/>
          <w:sz w:val="22"/>
        </w:rPr>
        <w:t>DO CADASTRO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 10 </w:t>
      </w:r>
      <w:r>
        <w:rPr>
          <w:rFonts w:ascii="Calibri" w:hAnsi="Calibri" w:eastAsia="Calibri"/>
          <w:b/>
          <w:i w:val="0"/>
          <w:color w:val="000000"/>
          <w:sz w:val="22"/>
        </w:rPr>
        <w:t>CAPÍTULO VI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 10 </w:t>
      </w:r>
      <w:r>
        <w:rPr>
          <w:rFonts w:ascii="Calibri" w:hAnsi="Calibri" w:eastAsia="Calibri"/>
          <w:b/>
          <w:i w:val="0"/>
          <w:color w:val="000000"/>
          <w:sz w:val="22"/>
        </w:rPr>
        <w:t>DA CLASSIFICAÇÃO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 10 </w:t>
      </w:r>
      <w:r>
        <w:rPr>
          <w:rFonts w:ascii="Calibri" w:hAnsi="Calibri" w:eastAsia="Calibri"/>
          <w:b/>
          <w:i w:val="0"/>
          <w:color w:val="000000"/>
          <w:sz w:val="22"/>
        </w:rPr>
        <w:t>CAPÍTULO VII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2"/>
        </w:rPr>
        <w:t>DA ESTRUTURA TARIFÁRIA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2"/>
        </w:rPr>
        <w:t>CAPÍTULO VIII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2"/>
        </w:rPr>
        <w:t>DA DETERMINAÇÃO DO CONSUMO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2"/>
        </w:rPr>
        <w:t>CAPÍTULO IX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2"/>
        </w:rPr>
        <w:t>DA REVISÃO DE 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2"/>
        </w:rPr>
        <w:t>CAPÍTULO 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2"/>
        </w:rPr>
        <w:t>DO PARCELAMENTO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2"/>
        </w:rPr>
        <w:t>CAPÍTULO XI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2"/>
        </w:rPr>
        <w:t>DA INTERRUPÇÃO DO ABASTECIMENTO POR INADIMPLÊNCIA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2"/>
        </w:rPr>
        <w:t>CAPÍTULO XII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2"/>
        </w:rPr>
        <w:t>DOS SERVIÇOS DE EXPEDIENTE E ARQUIVO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2"/>
        </w:rPr>
        <w:t>CAPÍTULO XIII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2"/>
        </w:rPr>
        <w:t>DOS SERVIÇOS PRESTADOS PELO SAAE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2"/>
        </w:rPr>
        <w:t>CAPÍTULO XIV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2"/>
        </w:rPr>
        <w:t>DOS PRAZOS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 16 </w:t>
      </w:r>
      <w:r>
        <w:rPr>
          <w:rFonts w:ascii="Calibri" w:hAnsi="Calibri" w:eastAsia="Calibri"/>
          <w:b/>
          <w:i w:val="0"/>
          <w:color w:val="000000"/>
          <w:sz w:val="22"/>
        </w:rPr>
        <w:t>CAPÍTULO XV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2"/>
        </w:rPr>
        <w:t>DA LIGAÇÃO E SEPARAÇÃO DE ÁGUA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2"/>
        </w:rPr>
        <w:t>CAPÍTULO XVI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2"/>
        </w:rPr>
        <w:t>DA LIGAÇÃO DE ESGOTO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2"/>
        </w:rPr>
        <w:t>CAPÍTULO XVII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2"/>
        </w:rPr>
        <w:t>DO AFASTAMENTO E/OU COLETA DE ESGOTOS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2"/>
        </w:rPr>
        <w:t>CAPÍTULO XVIII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........................................................................................................................................... 18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04" w:right="1070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42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DO DESLIGAMENTO E RELIGAÇÃO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2"/>
        </w:rPr>
        <w:t>CAPÍTULO XIX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2"/>
        </w:rPr>
        <w:t>DO FORNECIMENTO DE ÁGUA COM CAMINHÃO-PIPA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2"/>
        </w:rPr>
        <w:t>CAPÍTULO XX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2"/>
        </w:rPr>
        <w:t>DA AFERIÇÃO DE HIDRÔMETROS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2"/>
        </w:rPr>
        <w:t>CAPÍTULO XXI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2"/>
        </w:rPr>
        <w:t>DOS SERVIÇOS DIVERSOS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2"/>
        </w:rPr>
        <w:t>CAPÍTULO XXII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2"/>
        </w:rPr>
        <w:t>DAS IRREGULARIDADES E PENALIDADES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2"/>
        </w:rPr>
        <w:t>CAPÍTULO XXIII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2"/>
        </w:rPr>
        <w:t>DISPOSIÇÕES FINAIS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2"/>
        </w:rPr>
        <w:t>ANEXO 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2"/>
        </w:rPr>
        <w:t>PADRÃO DE LIGAÇÃO DE ÁGUA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2"/>
        </w:rPr>
        <w:t>ANEXO 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2"/>
        </w:rPr>
        <w:t>PADRÃO DE LIGAÇÃO DE ESGOTO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 26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84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04" w:right="1070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DOS SERVIÇOS PÚBLICOS DE ABASTECIMENTO DE ÁGUA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a serem observadas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Itapira, doravante denominado SAAE, e seus clientes,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Lei federal nº 11.445, de 05 de janeiro de 2007, regulamentada pelo Decreto nº 7.217,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21 de junho de 2010, aplicando-se a todos os usuários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prestados pelo SAAE, incluindo os já interligados na data 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publicação, assim como os que vierem a ser interligados posteriormente.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Adotam-se neste Regulamento de Serviços as seguintes terminologias: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Usuário: toda pessoa física ou jurídica, proprietário ou não (munido de contrato comprobatório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válido, com firma reconhecida), responsável pelo pagamento das contas e ocupação ou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prédio servido pelas redes públicas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 (toda subdivisão de um prédio,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entradas e ocupação independente das demais);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Caixa padronizada (distribuída ou aprovada pelo SAAE) para instalação do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considerado como ponto de entrega de água tratada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Elevatória de água: conjunto de tubulações, equipamentos e dispositivos destinados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em que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Ramal predial: conjunto de tubulações, conexões e registro,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Reservatório: instalação destinada a armazenar água e assegurar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instalações condominiais horizontais e verticais;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Coletor tronco: rede pública constituída por tubulação de grande diâmetro, com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coletar das redes primárias e destiná-las a estações elevatórias ou ETEs;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Rede pública de esgotamento sanitário: 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sistemas de tratamento de esgoto,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 formando condomínios, como unidade de esgotamento;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Sistema público de esgotamento sanitário: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9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Alto consumo: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50% (cinquenta por cento), no mínimo, a média aritmética dos últimos 12 (doze) meses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- Consumo mínimo: faturamento do volume mínimo por economia em m³ (metros cúbicos);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Contrato de Prestação de Serviços: instrumento contratual padronizado previamente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(ARES-PCJ),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regulamentos, não podendo seu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modificado pelo SAAE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Contrato especial: instrumento pelo qual o SAAE e o usuário ajustam 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as condições comerciais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- Corte da ligação: interrupção ou desligamento dos serviços pelo SAAE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com suspensão da emissão de fatura;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Despejo não doméstico: efluente líquido decorrente do uso da água para fins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 - Fatura de serviços: documento que apresenta a quantia total a ser paga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dos serviços públicos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um período especificado;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 - Inspeção: fiscalização na unidade usuária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adequação aos padrões técnicos e de segurança do SAAE,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 -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 -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aos sistemas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 - Recomposição: ação de responsabilidade do SAAE em iniciar e terminar a recuperação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recomposição de muros, passeios e pavimentos deteriorados pela ampliação ou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públicas de água e esgoto, levando-se em consideração o fluxo de pedestres e veículos,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 -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comercial.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COMPETÊNCIAS DO SAAE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Compete ao Serviço Autônomo de Água e Esgotos de Itapira – SAAE exercer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exclusividade todas as atividades administrativas e técnicas que se relacionam com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esgoto, compreendendo o planejamento, a execução das obras, a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 de sistemas, a medição do consumo de água, o faturamento,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cobrança dos serviços prestados, a aplicação de penalidades, e qualquer outra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relacionada.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6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SAAE é entidade autárquica municipal, com personalidade jurídica e patrimônio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próprio, responsável pela captação, tratamento e distribuição de água, e captação,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disposição final dos efluentes domésticos (Lei municipal nº 961, de 16 de julho de 1970).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Além da captação, tratamento e distribuição de água, e da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são serviços oferecidos pelo SAAE: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Ligação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Desentupimento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Manutenção em redes de água e esgoto, e tapa-buraco nos locais que receberam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Emissão de certidões (viabilidade, diretrizes, infraestrutura e outros);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Cadastros em geral, descriminados neste Regulamento de Serviços.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 PÚBLICO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São serviços solicitados no atendimento ao público: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Instalação, separação e mudança de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Ligação e derivação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Solicitação de corte definitivo;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Solicitação de caminhão-pipa;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Localização de rede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Guia de pagamento de certidões (Viabilidade, Diretrizes, Infraestrutura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Desmembramento/Unificação);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Pedido de vistoria para fins de habite-se;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Certidão negativa de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Alteração e atualização de titularidade;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Alteração de endereço de entrega das faturas;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Solicitação de revisão de faturas;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Consulta de consumo e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Segunda via de faturas e/ou parcelas;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Parcelamento de débitos.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10 (dez) dias úteis.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 pagamento das despesas de instalação do ramal predial de água e de esgoto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parcelado em até em 06 (seis) vezes.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As contas deverão ser pagas nas instituições bancárias credenciadas ou nos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autorizados a recebê-las antes do prazo de vencimento que lhe for fixado, sob pena de incidência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6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04" w:right="1060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correção monetária com índices reajustáveis pelo IPC-FIPE, juros de mora de 1% (um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e multa de 2% (dois por cento),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proprietário de imóvel ou usuário de serviços no cadastro do SAAE.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O pedido de cadastro será processado mediante apresentação de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(RG e/ou CPF) ou CNPJ e Contrato Social da pessoa jurídica,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pessoa jurídica cadastrada deverá indicar um sócio ou responsável no ato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É vedado o cadastro de usuário que possua débitos junto ao SAAE.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aprovação de projetos, como desmembramento e unificação,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como pedido de ligação, mudança de cavalete, e desligamento definitivo,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 poderá ser atendida após a quitação de débitos do usuário junto ao SAAE.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As faturas deverão ser lançadas em face do efetivo usuário dos serviços, cabendo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a responsabilidade pela atualização do cadastro e informação do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sob pena de ser responsabilizado pelos débitos em função da desatualização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mudança de proprietário do imóvel servido pelas redes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fica o novo proprietário obrigado a solicitar ao SAAE a respectiva transferência,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que comprovem a propriedade do imóvel.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O proprietário do imóvel (locador) deve acompanhar o cumprimento das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pelo usuário (locatário), relacionadas ao pagamento das tarifas de consumo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ao imóvel de sua propriedade. </w:t>
      </w:r>
    </w:p>
    <w:p>
      <w:pPr>
        <w:autoSpaceDN w:val="0"/>
        <w:autoSpaceDE w:val="0"/>
        <w:widowControl/>
        <w:spacing w:line="245" w:lineRule="auto" w:before="638" w:after="0"/>
        <w:ind w:left="3600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Para efeito de remuneração dos serviços, as unidades usuárias poderão ser classificadas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respectivas categorias: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Categoria Residencial/Condomínios: ligações em imóveis com natureza puramente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domésticos e higiênicos;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6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Categoria Comercial: ligações em imóveis com natureza predominantemente comercial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serviços, destinada aos fins higiênicos;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Categoria Industrial: ligações em estabelecimentos de natureza predominantemente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conforme Classificação Nacional de Atividades Econômicas – CNAE;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Categoria Pública: ligações em locais considerados como de infraestrutura urbana, criadas,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concedidas ou mantidas pelas esferas dos governos municipal, estadual ou federal;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Residencial Social I (Bolsa Família): economia estritamente residencial, caracterizada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descontos para pessoas cadastradas no Programa Federal do Bolsa Família, conforme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 nº 334/2015;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Residencial Social II: economia utilizada estritamente residencial, caracterizada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descontos incidentes sobre a Tarifa Residencial, conforme Ato Regulamentar nº 334/2015.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Os casos de alteração de categoria ou número de economias, bem como de demolição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imóvel, deverão ser imediatamente comunicados ao SAAE pelo proprietário ou usuário,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 de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alteração de categoria ou classe de unidade usuária de ofício exige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ao usuário.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Para efeito de faturamento aos usuários,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o SAAE realizar vistoria para a efetiva comprovação.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Poderá ser exigida do síndico ou responsável pelo condomínio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Os hotéis, pousadas, pensões e congêneres serão considerados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Compete ao usuário do imóvel viabilizar a leitura mensal do consumo de água, deixando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visível ou possibilitando-lhe o acesso.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ESTRUTURA TARIFÁRIA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A fixação da tarifa levará em conta a viabilidade do equilíbrio econômico-financeiro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 a preservação dos aspectos sociais dos respectivos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20 - As tarifas obedecerão à metodologia definida pela ARES-PCJ, garantindo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eficientes de operação e manutenção dos sistemas.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tarifas serão diferenciadas segundo categorias e faixas de consumo.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12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21 - A conta mínima de água resultará do produto de tarifa pelo consumo mínimo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economia, observadas as quantidades de economias de cada categoria e o serviço utilizado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22 - Os reajustes das tarifas de água e esgoto serão autorizados e aprovados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definida pela ARES- PCJ.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 CONSUMO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23 - O volume faturado será calculado pela diferença entre as leituras atual e anterior,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o consumo mínimo.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24 - Não sendo possível a apuração do volume consumido em determinado período,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pelo consumo médio, de acordo com o histórico do consumo medido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últimos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25 - Para efeito de determinação do volume de esgoto, quando a unidade usuária dispuser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sistema próprio de abastecimento de água e se utilizar da rede pública de esgoto,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instalar medidor nesses sistemas ou nos ramais prediais de esgoto, devendo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livre acesso para instalação e leitura.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FATURAS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26 - Poderão ser revisadas as contas de água e esgoto, diretamente no atendimento,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requerimento, quando ficar devidamente comprovada a ocorrência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fatos, quando não provocados pelo usuário: </w:t>
      </w:r>
    </w:p>
    <w:p>
      <w:pPr>
        <w:autoSpaceDN w:val="0"/>
        <w:autoSpaceDE w:val="0"/>
        <w:widowControl/>
        <w:spacing w:line="245" w:lineRule="auto" w:before="346" w:after="0"/>
        <w:ind w:left="0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Vazamento invisível;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Problemas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Erro de leitura ou leitura impossibilitada;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Erro de cadastro;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Inclusões indevidas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Média alta.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27 - Somente serão analisados os pedidos de revisão de contas solicitados junto ao SAAE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90 (noventa) dias após o vencimento da conta a ser revisada.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28 - O pedido de revisão deverá ser instruído com uma cópia das contas de água 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da revisão.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12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Somente serão analisados os pedidos de revisão de contas instruídos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que comprovem a realização dos reparos, sendo permissível a revisão de até 03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29 - Em caso de vazamento invisível, no ato do pedido de revisão de conta,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autorizará por escrito o SAAE a proceder com diligências, vistorias e estudos necessários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30 - Só serão considerados vazamentos invisíveis aqueles constatados em locais de difícil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localizados sob o solo ou em canos não aparentes embutidos em paredes ou lajes.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vazamento invisível, a fatura será recalculada pela média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dos 12 (doze) meses anteriores ao mês em que houve o aumento desproporcional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mensal.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31 - Restando comprovado que a água do vazamento não atingiu a rede de esgotos, não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o valor do esgoto excedente ao valor mínimo cobrado das faturas.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32 - O pedido de revisão de conta de água e esgotos suspende os atos de cobrança e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conta em revisão.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33 - A revisão de contas será solicitada pelo usuário ao atendimento do SAAE,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requisitará, junto aos departamentos competentes, documentos, estudos, pareceres, certidões,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avaliações, vistorias e diligências necessárias, apresentando os seguintes documentos: </w:t>
      </w:r>
    </w:p>
    <w:p>
      <w:pPr>
        <w:autoSpaceDN w:val="0"/>
        <w:autoSpaceDE w:val="0"/>
        <w:widowControl/>
        <w:spacing w:line="245" w:lineRule="auto" w:before="348" w:after="0"/>
        <w:ind w:left="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documentos pessoais (CPF e RG);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documento que ateste a condição de usuário (proprietário, inquilino etc.);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matrícula e endereço do imóvel.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processo interno somente será aberto quando o atendimento não puder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 à revisão de imediato.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34 - O processo interno por acúmulo de consumo será aberto diante do alto consumo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certa referência devido a eventual impossibilidade de leitura (consumidor ausente,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embaçado, obstruído etc.), observada a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 hipótese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cálculo é feito utilizando a última leitura real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antes da ocorrência, subtraída da leitura real realizada recente em que ocorreu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alto, dividido pela quantidade de meses com o alto consumo, somada a do mês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questão (em que houve o consumo alto), obtendo-se o consumo médio do imóvel.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35 - O SAAE deverá orientar e notificar o usuário diante da negativa de acesso ou imposição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obstáculo à leitura do hidrômetro, sua manutenção ou substituição.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36 - Após concluído o processo e emitido parecer final, caberá à Presidência do SAAE deferir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indeferir o pedido de revisão.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37 - Da decisão final do pedido de revisão caberá pedido de reconsideração no prazo de 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dias úteis do recebimento da comunicação.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38 - Os casos omissos ou dúvidas serão resolvidos pela Presidência do SAAE.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39 - O parcelamento dos débitos, que poderá ocorrer até (doze) prestações mensais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consecutivas, somente será concedido com solicitação à autoridade competente do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documentos pessoais do usuário (CPF e RG);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valor da dívida;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identificação da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confissão irretratável e irrevogável da dívida;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comprovante do recolhimento das custas e despesas judiciais e honorárias advocatícios,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encontre em cobrança judicial.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40 - O atraso no pagamento de 03 (três) prestações sucessivas anula 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concedido, implicando o vencimento das demais e a exigibilidade do montante da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confessa, pelo seu total ou saldo remanescente, prosseguindo-se à execução fiscal. </w:t>
      </w:r>
    </w:p>
    <w:p>
      <w:pPr>
        <w:autoSpaceDN w:val="0"/>
        <w:autoSpaceDE w:val="0"/>
        <w:widowControl/>
        <w:spacing w:line="245" w:lineRule="auto" w:before="640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ABASTECIMENTO POR INADIMPLÊNCIA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41 - O SAAE, após aviso ao usuário, com comprovação do recebimento e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30 (trinta) dias da data prevista para a suspensão, poderá suspender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 por inadimplemento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 pagamento das tarifas e/ou taxas.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42 - Em caso de negativa de recebimento do aviso, será devidamente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servindo este como comprovante.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43 - As leituras mensais serão mantidas para controle de eventuais intervenções no corte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até que seja religada ou suprimida/inativa definitivamente.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44 - É vedada a suspensão do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na sexta-feira,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 ou no domingo, bem como em feriados nacionais, estaduais ou municipais, ou, ainda,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anterior a feriado.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9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45 - Cessado o motivo da interrupção e/ou pagos os débitos, o SAAE restabelecerá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o esgotamento sanitário no prazo de até 12 (doze) horas por cortes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indevidos, até 24 (vinte e quatro) horas por cortes com aviso prévio, e 72 (setenta e duas)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retirada do ramal. </w:t>
      </w:r>
    </w:p>
    <w:p>
      <w:pPr>
        <w:autoSpaceDN w:val="0"/>
        <w:autoSpaceDE w:val="0"/>
        <w:widowControl/>
        <w:spacing w:line="245" w:lineRule="auto" w:before="63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DE EXPEDIENTE E ARQUIVO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46 - Os serviços de protocolo consistentes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serão atendidos no prazo de 15 (quinze) dias, com vista do processo ao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decisão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47 - Os demais serviços serão atendidos no prazo de 10 (dez) dias úteis,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neste Regulamento de Serviços ou em contrato.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48 -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ao SAAE, para autuação, apreciação e resposta ao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49 - No ato do requerimento de protocolo,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SAAE para a resposta.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50 - Não incide qualquer preço público para os serviços de protocolo e expediente.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51 - Os serviços de expediente serão devidos para emissão ou fornecimento de atestado,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ou certidão, 2ª via de documentos, cópia simples e cópia de plantas.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52 - A cobrança dos serviços descritos neste Capítulo será solicitada à divisão comercial,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será feito por meio de boletos e/ou lançamentos nas próximas faturas.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53 -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54 - O usuário receberá o número do protocolo de atendimento com data e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solicitante.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PELO SAAE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55 - São serviços prestados pelo SAAE: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Ligação de ramal predial de água ou derivações (extensão de rede que liga a rede mestra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 instalação do cavalete);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Instalação, separação e mudança de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Troca e instalação de hidrômetro;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Cavalete com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Serviço de corte;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Registro;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Supressão;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Aferição de pressão;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Conserto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Caixa de proteção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Violação de dispositivo de 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Ligação de ramal predial de esgoto ou derivações (extensão de rede que liga a rede mestra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até a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Desentupimento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Serviço de recebimento de resíduos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Serviço de localização de ramal predial – esgotos (derivações);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Emissões diversas;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Cópia xerográfica;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Atestados e certidões negativas;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Transferência cadastral;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Análise e aprovação de projetos;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Encaminhamento de contas;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Vistoria em pedido de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Estudos;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Aprovação e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Ligação provisória em parques de diversões, circos e outros;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Caminhão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Restauração de passeios, muros, lajes e revestimento originários da execução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manutenção, inclusive substituição dos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Quebra de asfalto e/ou calçamento. </w:t>
      </w:r>
    </w:p>
    <w:p>
      <w:pPr>
        <w:autoSpaceDN w:val="0"/>
        <w:autoSpaceDE w:val="0"/>
        <w:widowControl/>
        <w:spacing w:line="245" w:lineRule="auto" w:before="63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56 - Os serviços de expediente, cadastro e alterações cadastrais serão atendidos no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57 - Os serviços de protocolo, consistentes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serão atendidos no prazo de 15 (quinze) dias, sendo aberta vista do processo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após a decisão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58 - Os pedidos de ligação de água e de esgoto, e de separação de ligação, serão atendidos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10 (dez) dias úteis, contados a partir da aprovação das instalações e do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obrigações.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59 -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até 30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6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204" w:right="1060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úteis, a contar da comprovação de pagamento dos respectivos preços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incidentes. </w:t>
      </w:r>
    </w:p>
    <w:p>
      <w:pPr>
        <w:autoSpaceDN w:val="0"/>
        <w:autoSpaceDE w:val="0"/>
        <w:widowControl/>
        <w:spacing w:line="245" w:lineRule="auto" w:before="640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E SEPARAÇÃO DE ÁGUA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60 - O serviço de ligação de água será cobrado quando o usuário assim requerer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mediante assinatura de contrato, apresentação dos documentos necessários 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correspondente.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61 - Serão cobrados, antecipadamente ou posteriormente, caso necessário, a hora-máquina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62 -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diante de furto ou dano, será substituído e cobrado valor específico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63 -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setor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64 - Para fins de cadastro, a separação da ligação de água será considerada como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64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65 - Poderá ser prestado o serviço onde houver sistema público de esgotos em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atendimento, passando a ser faturado desde a execução do serviço de ligação.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66 - Serão cobrados, antecipadamente ou posteriormente, caso necessário, a hora-máquina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67 - O SAAE poderá exigir pré-tratamento dos esgotos não industriais com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físico-químicos distintas do esgoto sanitário, para recebê-los em seu sistema em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específicos, como condição à liberação de loteamentos e/ou indústrias.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68 - O lançamento de efluentes no sistema do SAAE será feito por gravidade, e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recalque, deverá haver caixa de “quebra-pressão”.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69 - Os despejos das garagens, oficinas, postos de serviços e de abastecimento de veículos,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lubrificação, deverão obrigatoriamente passar por caixa retentora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70 - O usuário gerador de efluentes líquidos decorrentes de atividades industriais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consultar previamente o SAAE para que possa realizar o devido lançamento, excetuados 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sanitária.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71 - Não são admitidos à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análise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do SAAE.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72 - É vedado o lançamento no coletor público de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que: </w:t>
      </w:r>
    </w:p>
    <w:p>
      <w:pPr>
        <w:autoSpaceDN w:val="0"/>
        <w:autoSpaceDE w:val="0"/>
        <w:widowControl/>
        <w:spacing w:line="245" w:lineRule="auto" w:before="346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 - 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Tenham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638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AFASTAMENTO E/OU COLETA DE ESGOTOS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73 - O usuário pagará mensalmente ao SAAE pelos serviços de afastamento e/ou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desde que haja ramal coletor de esgotamento sanitário em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conjuntamente com a fatura de fornecimento de água tratada.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74 - Havendo derivação própria de água, tais como poços artesianos e nascentes,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efetiva utilização do ramal coletor de esgotamento sanitário, será instalado pelo SAAE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para fins de faturamento de afastamento e/ou coleta de esgoto, de acordo com 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vigente aprovada pela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75 - Se usuário declarar que apenas parte do volume de água utilizado retorne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esgoto, deverá providenciar, às suas expensas,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faturamento, atendendo ao Ato Regulamentar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347, de 20 de julho de 2017.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76 - Entende-se por instalação de esgoto o ramal coletor e o trecho que vai da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viela sanitária até o alinhamento da propriedade. </w:t>
      </w:r>
    </w:p>
    <w:p>
      <w:pPr>
        <w:autoSpaceDN w:val="0"/>
        <w:autoSpaceDE w:val="0"/>
        <w:widowControl/>
        <w:spacing w:line="245" w:lineRule="auto" w:before="642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DESLIGAMENTO E RELIGAÇÃO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12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77 - O usuário poderá requerer o desligamento do fornecimento por meio da retirada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seguintes requisitos em conjunto: </w:t>
      </w:r>
    </w:p>
    <w:p>
      <w:pPr>
        <w:autoSpaceDN w:val="0"/>
        <w:autoSpaceDE w:val="0"/>
        <w:widowControl/>
        <w:spacing w:line="245" w:lineRule="auto" w:before="346" w:after="0"/>
        <w:ind w:left="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Requerimento mediante formulário próprio com a justificativa do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Pagamento dos valores referentes ao serviço solicitado.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78 - O usuário poderá requerer a religação, a qualquer tempo, mediante o recolhimento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 público correspondente, desde que não haja débitos em seu nome. </w:t>
      </w:r>
    </w:p>
    <w:p>
      <w:pPr>
        <w:autoSpaceDN w:val="0"/>
        <w:autoSpaceDE w:val="0"/>
        <w:widowControl/>
        <w:spacing w:line="245" w:lineRule="auto" w:before="642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COM CAMINHÃO-PIPA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79 - Qualquer pessoa poderá requerer fornecimento de água através de caminhão-pipa,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respectivo pagamento e autorização do departamento competente, obedecendo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acessíveis do Município.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apenas fornecerá a água, de modo que o caminhão-pipa, que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 ou de empresas terceirizadas, deverá ser providenciado pelo requerente.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AFERIÇÃO DE HIDRÔMETROS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80 - O usuário poderá requerer a aferição do hidrômetro ao SAAE, impugnando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até 03 (três) meses anteriores ao pedido, mediante requerimento em que assume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do respectivo serviço.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requerimento o usuário deverá especificar as faturas que impugna e agendar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serviço, e em caso de ausência dos responsáveis na residência, após verificação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do SAAE, poderá solicitar novo agendamento.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81 - Em caso de tentativa de agendamento infrutífera,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o SAAE aguardará por 10 (dez) dias a manifestação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indeferimento e arquivamento do processo.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82 - A aferição do hidrômetro será realizada por empresa especializada, que emitirá laudo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entregue ao usuário.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83 - Caso a aferição constate defeito no hidrômetro,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efetivada a revisão das faturas impugnadas e as subsequentes ao pedido,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do consumo dos últimos 12 (doze) meses em que houve leitura normal.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as faturas de água estejam pagas, haverá a revisão das contas de água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diferença será lançado como crédito em contas futuras.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84 - O usuário poderá requerer, caso queira, a devolução do valor pago à maior, que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depósito bancário ou será restituído nas próximas faturas.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DIVERSOS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85 - Mediante requerimento ou necessidade para a execução de outro serviço,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prestará os seguintes serviços, obedecendo a tabela de preços vigente, aprovada pela ARES-PCJ: </w:t>
      </w:r>
    </w:p>
    <w:p>
      <w:pPr>
        <w:autoSpaceDN w:val="0"/>
        <w:autoSpaceDE w:val="0"/>
        <w:widowControl/>
        <w:spacing w:line="245" w:lineRule="auto" w:before="348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Hora de mão de obra de Encanador;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Hora de mão de obra de Ajudante;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Hora de mão de obra de Pedreiro;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Hora de utilização de retroescavadeira;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Desobstrução de rede de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serão prestados sempre que o interesse público sobrevier, vedada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de serviços de ordem meramente particular.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86 - Constituem irregularidades as seguintes condutas do usuário: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Derivação do ramal predial antes do hidrômetro 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Lacrar a tampa da caixa de inspeção de esgoto;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Lançamento de resíduos sólidos na rede coletora de esgoto que possam prejudicar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correto funcionamento.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87 - Verificada irregularidade e/ou constatado que a conduta gerou ausência de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faturamento em valor inferior ao real, o SAAE adotará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Lavratura de Termo de Ocorrência de Irregularidade, com cópia ao usuário e assinatura deste,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negativa, será encaminhado via postal com aviso de recebimento – A.R.;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Encaminhamento aos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do faturamento com base no consumo medido, ou na média dos últimos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em que houve leitura normal, e em caso de inviabilidade, o valor do consumo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de ofício, através de estimativa, com base nas instalações da unidade usuária e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nela desenvolvidas;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Imposição de multa, conforme o caso.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necessário, na presença de autoridade policial ou servidor designado,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procederá à retirada do hidrômetro em invólucro lacrado e preservado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de processo ou a emissão de laudo policial.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88 - 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localizados em seu imóvel.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furto do hidrômetro, o usuário deverá apresentar 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ao SAAE para isenção da multa e do custo de substituição do medidor.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89 - Aos infratores que cometerem quaisquer das irregularidades previstas no artigo 86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será aplicada multa correspondente 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20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correspondentes aos itens VII, VIII, XII, XIV, XV, XVI, XVII, XVIII, XIX e XX;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30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correspondentes aos itens II, III, V, IX, X e XI;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50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correspondentes aos itens I, IV, VI e XIII.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90 - O atendimento ao público na sede administrativa do SAAE funcionará de segunda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sexta-feira, das 8h às 11h30, e das 13h às 17h, exceto feriados e pontos facultativos.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9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único. O SAAE dispõe de atendimento emergencial 24 horas através do telefone 0800-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7700195.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91 - As pessoas portadoras de necessidades especiais, idosos, gestantes, lactantes e pessoas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 serão atendidas prioritariamente.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12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204" w:right="1064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298" w:after="0"/>
        <w:ind w:left="0" w:right="20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serão padronizadas nos moldes abaixo, a partir da aquisição e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de uma Caixa de Proteção para o hidrômetro na divisa frontal ou lateral (este,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para imóveis comerciais) de seu lote, com acesso externo, e pagamento do kit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que será colocado pelo SAAE, conforme especificação: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Material disponibilizado pelo usuário: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até 1,5 metros de tubo camisa em PVC rígido 11/2”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(01) uma curva raio longo em PVC rígido 90°, 11/2” esgoto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(01) um registro de pressão ¾” tipo gaveta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Material disponibilizado pelo SAAE: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(01) uma (1) caixa de proteção de hidrômetro padrão SAAE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(01) um cotovelo reforçado de 90° F/F ¾”, PVC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(01) um registro esfera ¾”, PVC – adaptado para PEAD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(01) um lacre (externo)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(02) duas abraçadeiras (nylon média fina)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(03) três metros de mangueira de polietileno ¾”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(01) um tubete longo ¾” PVC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(01) um tubete curto ¾” PVC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(02) duas guarnições de borracha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j. (01) um hidrômetro ¾”, com lente de 45° </w:t>
      </w:r>
    </w:p>
    <w:p>
      <w:pPr>
        <w:autoSpaceDN w:val="0"/>
        <w:autoSpaceDE w:val="0"/>
        <w:widowControl/>
        <w:spacing w:line="245" w:lineRule="auto" w:before="296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de Proteção deverá ser retirada na sede do SAAE, dentro dos horários previstos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presencial, mediante pagamento do preço;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admitida a utilização de outra Caixa senão a adquirida no balcão de atendimento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itens do inciso I deverão ser adquiridos e instalados pelo usuário com materiais de 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itens do inciso II deverão ser pagos ao SAAE e instalados pelos profissionais do próprio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a ligação ou padronização da ligação de água seja realizada, devem ser cumpridos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pré-requisitos: </w:t>
      </w:r>
    </w:p>
    <w:p>
      <w:pPr>
        <w:autoSpaceDN w:val="0"/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A Caixa de Proteção deve ser instalada pelo usuário em mureta na divisa frontal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acesso à rua, em altura mínima de 70 (setenta) centímetros e máxima de 115 (cento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quinze) centímetros da base inferior em relação ao piso acabado, com a grade de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voltada para o logradouro, em local de fácil acesso e espaço para leitura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A Caixa de Proteção deve estar instalada dentro de todos os procedimentos detalhados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instalação, incluindo desenho técnico com detalhe esquemático da ligação e relação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necessários para execução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3) O usuário deverá providenciar previamente a execução de todas as instalações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do imóvel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6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204" w:right="1058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378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Abaixo,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1460500</wp:posOffset>
            </wp:positionV>
            <wp:extent cx="5939790" cy="71996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99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1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204" w:right="1114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1079500</wp:posOffset>
            </wp:positionV>
            <wp:extent cx="5939790" cy="43205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0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92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alguns casos específicos, não havendo condições da implantação do padrão parede, o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analisará e autorizará a implantação do padrão calçada 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61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204" w:right="1066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7" w:lineRule="auto" w:before="296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do SAAE: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4" w:after="298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OCRE DN 100 mm (barra de 6 m), utilizado para transporte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redes coletoras, devendo atender as normas - NBR-7362-1: 1999 - Sistemas enterrados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condução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Anel borracha JE OCRE DN 100 mm, que garanta total estanqueidade e excelente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unindo versatilidade de um sistema removível para as diversas necessidades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infraestrutura, devendo atender as prescrições da NBR 7362 – 1 para tubos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PVC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Selim PVC ELAST OCRE DN 150 x 100 mm, para a interligação dos ramais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prediais, condominiais e até despejos industriais às redes coletoras,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Curva longa PVC OCRE 45° PB JEI DN 100 mm, destinada à mudança de direção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tubulação, atendendo a NBR 10569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 padrão SAAE, a ser executada pelo proprietário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434"/>
      </w:tblGrid>
      <w:tr>
        <w:trPr>
          <w:trHeight w:hRule="exact" w:val="6904"/>
        </w:trPr>
        <w:tc>
          <w:tcPr>
            <w:tcW w:type="dxa" w:w="9374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4828540</wp:posOffset>
                  </wp:positionV>
                  <wp:extent cx="5939790" cy="4371340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3713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0" w:after="0"/>
        <w:ind w:left="22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Exemplo de instalação de ramal predial de esgoto residencial</w:t>
      </w:r>
    </w:p>
    <w:p>
      <w:pPr>
        <w:autoSpaceDN w:val="0"/>
        <w:tabs>
          <w:tab w:pos="9002" w:val="left"/>
        </w:tabs>
        <w:autoSpaceDE w:val="0"/>
        <w:widowControl/>
        <w:spacing w:line="197" w:lineRule="auto" w:before="7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202" w:right="1054" w:bottom="55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-124460</wp:posOffset>
            </wp:positionH>
            <wp:positionV relativeFrom="page">
              <wp:posOffset>9831070</wp:posOffset>
            </wp:positionV>
            <wp:extent cx="7736839" cy="103157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2433320</wp:posOffset>
            </wp:positionH>
            <wp:positionV relativeFrom="page">
              <wp:posOffset>257810</wp:posOffset>
            </wp:positionV>
            <wp:extent cx="2686050" cy="58166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1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1079500</wp:posOffset>
            </wp:positionV>
            <wp:extent cx="5939790" cy="756030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60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" w:after="29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Esquema disponível no site do SAAE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(</w:t>
          </w:r>
        </w:hyperlink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6" w:history="1">
          <w:r>
            <w:rPr>
              <w:rStyle w:val="Hyperlink"/>
            </w:rPr>
            <w:t>www.saaeitapira.com.br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83" w:type="dxa"/>
      </w:tblPr>
      <w:tblGrid>
        <w:gridCol w:w="9374"/>
      </w:tblGrid>
      <w:tr>
        <w:trPr>
          <w:trHeight w:hRule="exact" w:val="632"/>
        </w:trPr>
        <w:tc>
          <w:tcPr>
            <w:tcW w:type="dxa" w:w="9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" w:val="left"/>
              </w:tabs>
              <w:autoSpaceDE w:val="0"/>
              <w:widowControl/>
              <w:spacing w:line="245" w:lineRule="auto" w:before="66" w:after="0"/>
              <w:ind w:left="108" w:right="0" w:firstLine="0"/>
              <w:jc w:val="left"/>
            </w:pPr>
            <w:r>
              <w:rPr>
                <w:w w:val="98.3801385630732"/>
                <w:rFonts w:ascii="Calibri" w:hAnsi="Calibri" w:eastAsia="Calibri"/>
                <w:b/>
                <w:i w:val="0"/>
                <w:color w:val="08090C"/>
                <w:sz w:val="23"/>
              </w:rPr>
              <w:t xml:space="preserve">Em nenhuma hipótese as águas pluviais poderão ser lançadas no ramal interno de esgotos e, </w:t>
            </w:r>
            <w:r>
              <w:rPr>
                <w:w w:val="98.3801385630732"/>
                <w:rFonts w:ascii="Calibri" w:hAnsi="Calibri" w:eastAsia="Calibri"/>
                <w:b/>
                <w:i w:val="0"/>
                <w:color w:val="08090C"/>
                <w:sz w:val="23"/>
              </w:rPr>
              <w:t xml:space="preserve">consequentemente, à rede pública de esgoto </w:t>
            </w:r>
          </w:p>
        </w:tc>
      </w:tr>
    </w:tbl>
    <w:p>
      <w:pPr>
        <w:autoSpaceDN w:val="0"/>
        <w:tabs>
          <w:tab w:pos="9002" w:val="left"/>
        </w:tabs>
        <w:autoSpaceDE w:val="0"/>
        <w:widowControl/>
        <w:spacing w:line="197" w:lineRule="auto" w:before="7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557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sectPr w:rsidR="00FC693F" w:rsidRPr="0006063C" w:rsidSect="00034616">
      <w:pgSz w:w="11906" w:h="16838"/>
      <w:pgMar w:top="202" w:right="1114" w:bottom="55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://www.saaeitapir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