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9841230</wp:posOffset>
            </wp:positionV>
            <wp:extent cx="7595870" cy="967861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95870" cy="9678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63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2524760</wp:posOffset>
            </wp:positionH>
            <wp:positionV relativeFrom="page">
              <wp:posOffset>180340</wp:posOffset>
            </wp:positionV>
            <wp:extent cx="2691129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1129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559, DE 14 DE MAIO DE 2024 </w:t>
      </w:r>
    </w:p>
    <w:p>
      <w:pPr>
        <w:autoSpaceDN w:val="0"/>
        <w:autoSpaceDE w:val="0"/>
        <w:widowControl/>
        <w:spacing w:line="245" w:lineRule="auto" w:before="638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Revoga o § 3º do art. 92, altera a redação do inciso II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 art. 190, e inclui o Anexo IV, ao ANEXO A, da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Resolução ARES-PCJ nº 206, de 11/08/2017, que </w:t>
      </w:r>
      <w:r>
        <w:rPr>
          <w:rFonts w:ascii="Calibri" w:hAnsi="Calibri" w:eastAsia="Calibri"/>
          <w:b w:val="0"/>
          <w:i/>
          <w:color w:val="000000"/>
          <w:sz w:val="24"/>
        </w:rPr>
        <w:t>aprovou o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Regulamento de Prestação dos Serviços de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Abastecimento de Água e Esgotamento Sanitário e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Atendimento aos Usuários do Município de Nova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Odessa, e dá outras providências.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>BACIAS DOS RIOS PIRACICABA, CAPIVARI E JUNDIAÍ (ARES-PCJ)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de suas atribuições e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 da Cláusula 32ª, inciso III, do Protocolo de Intenções, convertido em Contrato de Consórcio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Público, e do artigo 28, inciso III, do Estatuto Social e;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4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das premissas constantes na Lei federal nº 11.445, de 05/01/2007, do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21/06/2010, e da Lei municipal nº 2.611, de 20/06/2012,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Nova Odessa ratificou o Protocolo de Intenções da ARES-PCJ, delegando as competências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municipais de regulação e fiscalização dos serviços de abastecimento de água 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 art. 23 da Lei federal nº 11.445</w:t>
      </w:r>
      <w:r>
        <w:rPr>
          <w:rFonts w:ascii="Calibri" w:hAnsi="Calibri" w:eastAsia="Calibri"/>
          <w:b w:val="0"/>
          <w:i w:val="0"/>
          <w:color w:val="000000"/>
          <w:sz w:val="24"/>
        </w:rPr>
        <w:t>/2007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define os aspectos normativos em que as agências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reguladoras editarão normas relativas às dimensões técnica, econômica e social de prestação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serviços de saneamento básico;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os preceitos norteadores da Resolução ARES-PCJ nº 50/2014, em especial nos arts. 45 e 46,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delimitam a forma e a obrigação do prestador de serviços de saneamento básico em editar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de Serviços, visando a divulgação do padrão normativo aos usuários;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ARES-PCJ não tem competência de instância administrativa recursal para análise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recursos administrativos relativos às decisões da Companhia de Desenvolvimento de Nova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Odessa – CODEN AMBIENTAL;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CODEN AMBIENTAL </w:t>
      </w:r>
      <w:r>
        <w:rPr>
          <w:rFonts w:ascii="Calibri" w:hAnsi="Calibri" w:eastAsia="Calibri"/>
          <w:b w:val="0"/>
          <w:i w:val="0"/>
          <w:color w:val="000000"/>
          <w:sz w:val="24"/>
        </w:rPr>
        <w:t>solicitou alteração do Regulamento de Serviços (Anexo A da Resolução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ARES-PCJ nº 206/2017), através do Protocolo 1Doc nº 247/2024 (Ofício nº 048/2024/Adm.), para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incluir a tabela de Infrações (ANEXO IV);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Que, em face do cumprimento de todas as diretrizes, a Diretoria Executiva da ARES-PCJ, reunida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14 de maio de 2024;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9024" w:val="left"/>
        </w:tabs>
        <w:autoSpaceDE w:val="0"/>
        <w:widowControl/>
        <w:spacing w:line="197" w:lineRule="auto" w:before="10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559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1</w:t>
      </w:r>
    </w:p>
    <w:p>
      <w:pPr>
        <w:sectPr>
          <w:pgSz w:w="11906" w:h="16841"/>
          <w:pgMar w:top="142" w:right="1056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9841230</wp:posOffset>
            </wp:positionV>
            <wp:extent cx="7595870" cy="967861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95870" cy="9678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63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2524760</wp:posOffset>
            </wp:positionH>
            <wp:positionV relativeFrom="page">
              <wp:posOffset>180340</wp:posOffset>
            </wp:positionV>
            <wp:extent cx="2691129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1129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90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852" w:val="left"/>
        </w:tabs>
        <w:autoSpaceDE w:val="0"/>
        <w:widowControl/>
        <w:spacing w:line="348" w:lineRule="auto" w:before="6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Revogar o § 3º do art. 92, do ANEXO A, da Resolução ARES-PCJ nº 206, de 11/08/2017.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Alterar a redação do inc. II do art. 190, do ANEXO A, da Resolução ARES-PCJ nº 206,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11/08/2017, que passa a vigorar com a seguinte redação: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“Art. 190................................................................................................................... </w:t>
      </w:r>
    </w:p>
    <w:p>
      <w:pPr>
        <w:autoSpaceDN w:val="0"/>
        <w:tabs>
          <w:tab w:pos="852" w:val="left"/>
          <w:tab w:pos="3650" w:val="left"/>
        </w:tabs>
        <w:autoSpaceDE w:val="0"/>
        <w:widowControl/>
        <w:spacing w:line="348" w:lineRule="auto" w:before="348" w:after="434"/>
        <w:ind w:left="0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II. Aplicação de multa, conforme ANEXO IV deste Regulamento de Serviços;”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(NR)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Incluir o ANEXO IV - Infrações, ao ANEXO A, da Resolução ARES-PCJ nº 206, de 11/08/2017,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seguinte redação: </w:t>
      </w:r>
      <w:r>
        <w:br/>
      </w:r>
      <w:r>
        <w:tab/>
      </w:r>
      <w:r>
        <w:tab/>
      </w:r>
      <w:r>
        <w:rPr>
          <w:rFonts w:ascii="Calibri" w:hAnsi="Calibri" w:eastAsia="Calibri"/>
          <w:b/>
          <w:i/>
          <w:color w:val="00000A"/>
          <w:sz w:val="24"/>
        </w:rPr>
        <w:t xml:space="preserve">ANEXO IV - Infrações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7.99999999999983" w:type="dxa"/>
      </w:tblPr>
      <w:tblGrid>
        <w:gridCol w:w="3144"/>
        <w:gridCol w:w="3144"/>
        <w:gridCol w:w="3144"/>
      </w:tblGrid>
      <w:tr>
        <w:trPr>
          <w:trHeight w:hRule="exact" w:val="348"/>
        </w:trPr>
        <w:tc>
          <w:tcPr>
            <w:tcW w:type="dxa" w:w="907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74" w:right="0" w:firstLine="0"/>
              <w:jc w:val="left"/>
            </w:pPr>
            <w:r>
              <w:rPr>
                <w:rFonts w:ascii="Calibri" w:hAnsi="Calibri" w:eastAsia="Calibri"/>
                <w:b/>
                <w:i/>
                <w:color w:val="000000"/>
                <w:sz w:val="24"/>
              </w:rPr>
              <w:t xml:space="preserve">INFRAÇÕES (valores em R$) </w:t>
            </w:r>
          </w:p>
        </w:tc>
      </w:tr>
      <w:tr>
        <w:trPr>
          <w:trHeight w:hRule="exact" w:val="888"/>
        </w:trPr>
        <w:tc>
          <w:tcPr>
            <w:tcW w:type="dxa" w:w="6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4" w:right="2" w:firstLine="0"/>
              <w:jc w:val="both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Impedimento voluntário à promoção da leitura do hidrômetro ou à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execução de serviços de manutenção do cavalete e hidrômetro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pela prestadora de serviços </w:t>
            </w:r>
          </w:p>
        </w:tc>
        <w:tc>
          <w:tcPr>
            <w:tcW w:type="dxa" w:w="11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399,57 </w:t>
            </w:r>
          </w:p>
        </w:tc>
      </w:tr>
      <w:tr>
        <w:trPr>
          <w:trHeight w:hRule="exact" w:val="350"/>
        </w:trPr>
        <w:tc>
          <w:tcPr>
            <w:tcW w:type="dxa" w:w="6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Violação do lacre da caixa ou cubículo de proteção do hidrômetro </w:t>
            </w:r>
          </w:p>
        </w:tc>
        <w:tc>
          <w:tcPr>
            <w:tcW w:type="dxa" w:w="11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199,77 </w:t>
            </w:r>
          </w:p>
        </w:tc>
      </w:tr>
      <w:tr>
        <w:trPr>
          <w:trHeight w:hRule="exact" w:val="352"/>
        </w:trPr>
        <w:tc>
          <w:tcPr>
            <w:tcW w:type="dxa" w:w="65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7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Violação do lacre de proteção do cavalete e do hidrômetro </w:t>
            </w:r>
          </w:p>
        </w:tc>
        <w:tc>
          <w:tcPr>
            <w:tcW w:type="dxa" w:w="11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199,77 </w:t>
            </w:r>
          </w:p>
        </w:tc>
      </w:tr>
      <w:tr>
        <w:trPr>
          <w:trHeight w:hRule="exact" w:val="594"/>
        </w:trPr>
        <w:tc>
          <w:tcPr>
            <w:tcW w:type="dxa" w:w="65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Utilização indevida do hidrante instalado na área interna do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imóvel </w:t>
            </w:r>
          </w:p>
        </w:tc>
        <w:tc>
          <w:tcPr>
            <w:tcW w:type="dxa" w:w="11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399,57 </w:t>
            </w:r>
          </w:p>
        </w:tc>
      </w:tr>
      <w:tr>
        <w:trPr>
          <w:trHeight w:hRule="exact" w:val="594"/>
        </w:trPr>
        <w:tc>
          <w:tcPr>
            <w:tcW w:type="dxa" w:w="6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Ausência de caixa de gordura sifonada na instalação predial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interna de esgotos </w:t>
            </w:r>
          </w:p>
        </w:tc>
        <w:tc>
          <w:tcPr>
            <w:tcW w:type="dxa" w:w="11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399,57 </w:t>
            </w:r>
          </w:p>
        </w:tc>
      </w:tr>
      <w:tr>
        <w:trPr>
          <w:trHeight w:hRule="exact" w:val="350"/>
        </w:trPr>
        <w:tc>
          <w:tcPr>
            <w:tcW w:type="dxa" w:w="6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7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Instalação de aparelhos eliminadores ou supressores de ar </w:t>
            </w:r>
          </w:p>
        </w:tc>
        <w:tc>
          <w:tcPr>
            <w:tcW w:type="dxa" w:w="11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399,57 </w:t>
            </w:r>
          </w:p>
        </w:tc>
      </w:tr>
      <w:tr>
        <w:trPr>
          <w:trHeight w:hRule="exact" w:val="350"/>
        </w:trPr>
        <w:tc>
          <w:tcPr>
            <w:tcW w:type="dxa" w:w="6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7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Lacrar a tampa da caixa de inspeção de esgoto </w:t>
            </w:r>
          </w:p>
        </w:tc>
        <w:tc>
          <w:tcPr>
            <w:tcW w:type="dxa" w:w="11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399,57 </w:t>
            </w:r>
          </w:p>
        </w:tc>
      </w:tr>
      <w:tr>
        <w:trPr>
          <w:trHeight w:hRule="exact" w:val="598"/>
        </w:trPr>
        <w:tc>
          <w:tcPr>
            <w:tcW w:type="dxa" w:w="6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Ausência de caixa de inspeção no ramal de esgoto em logradouro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público (testada do imóvel) </w:t>
            </w:r>
          </w:p>
        </w:tc>
        <w:tc>
          <w:tcPr>
            <w:tcW w:type="dxa" w:w="11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399,57 </w:t>
            </w:r>
          </w:p>
        </w:tc>
      </w:tr>
      <w:tr>
        <w:trPr>
          <w:trHeight w:hRule="exact" w:val="598"/>
        </w:trPr>
        <w:tc>
          <w:tcPr>
            <w:tcW w:type="dxa" w:w="6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Lançamento de esgoto nas instalações ou coletores de águas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pluviais </w:t>
            </w:r>
          </w:p>
        </w:tc>
        <w:tc>
          <w:tcPr>
            <w:tcW w:type="dxa" w:w="11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399,57 </w:t>
            </w:r>
          </w:p>
        </w:tc>
      </w:tr>
      <w:tr>
        <w:trPr>
          <w:trHeight w:hRule="exact" w:val="592"/>
        </w:trPr>
        <w:tc>
          <w:tcPr>
            <w:tcW w:type="dxa" w:w="6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Lançar resíduos sólidos na rede coletora de esgoto, que possam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prejudicar o seu correto funcionamento </w:t>
            </w:r>
          </w:p>
        </w:tc>
        <w:tc>
          <w:tcPr>
            <w:tcW w:type="dxa" w:w="11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399,57 </w:t>
            </w:r>
          </w:p>
        </w:tc>
      </w:tr>
      <w:tr>
        <w:trPr>
          <w:trHeight w:hRule="exact" w:val="890"/>
        </w:trPr>
        <w:tc>
          <w:tcPr>
            <w:tcW w:type="dxa" w:w="6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4" w:right="60" w:firstLine="0"/>
              <w:jc w:val="both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É vedada a instalação de equipamento nas adjacências do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hidrômetro, inclusive na instalação predial, que influencie nas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condições metrológicas no equipamento </w:t>
            </w:r>
          </w:p>
        </w:tc>
        <w:tc>
          <w:tcPr>
            <w:tcW w:type="dxa" w:w="11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399,57 </w:t>
            </w:r>
          </w:p>
        </w:tc>
      </w:tr>
      <w:tr>
        <w:trPr>
          <w:trHeight w:hRule="exact" w:val="350"/>
        </w:trPr>
        <w:tc>
          <w:tcPr>
            <w:tcW w:type="dxa" w:w="6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7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Ligação clandestina de água e/ou esgoto </w:t>
            </w:r>
          </w:p>
        </w:tc>
        <w:tc>
          <w:tcPr>
            <w:tcW w:type="dxa" w:w="11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914,70 </w:t>
            </w:r>
          </w:p>
        </w:tc>
      </w:tr>
      <w:tr>
        <w:trPr>
          <w:trHeight w:hRule="exact" w:val="598"/>
        </w:trPr>
        <w:tc>
          <w:tcPr>
            <w:tcW w:type="dxa" w:w="65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Restabelecimento irregular   do   abastecimento   de   água   em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ligações cortadas no cavalete </w:t>
            </w:r>
          </w:p>
        </w:tc>
        <w:tc>
          <w:tcPr>
            <w:tcW w:type="dxa" w:w="11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399,57 </w:t>
            </w:r>
          </w:p>
        </w:tc>
      </w:tr>
      <w:tr>
        <w:trPr>
          <w:trHeight w:hRule="exact" w:val="594"/>
        </w:trPr>
        <w:tc>
          <w:tcPr>
            <w:tcW w:type="dxa" w:w="65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Restabelecimento irregular   do   abastecimento   de   água   em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ligações cortadas no ramal </w:t>
            </w:r>
          </w:p>
        </w:tc>
        <w:tc>
          <w:tcPr>
            <w:tcW w:type="dxa" w:w="11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399,57 </w:t>
            </w:r>
          </w:p>
        </w:tc>
      </w:tr>
    </w:tbl>
    <w:p>
      <w:pPr>
        <w:autoSpaceDN w:val="0"/>
        <w:tabs>
          <w:tab w:pos="9024" w:val="left"/>
        </w:tabs>
        <w:autoSpaceDE w:val="0"/>
        <w:widowControl/>
        <w:spacing w:line="197" w:lineRule="auto" w:before="50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559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2</w:t>
      </w:r>
    </w:p>
    <w:p>
      <w:pPr>
        <w:sectPr>
          <w:pgSz w:w="11906" w:h="16841"/>
          <w:pgMar w:top="142" w:right="1056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9841230</wp:posOffset>
            </wp:positionV>
            <wp:extent cx="7595870" cy="967861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95870" cy="9678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6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2524760</wp:posOffset>
            </wp:positionH>
            <wp:positionV relativeFrom="page">
              <wp:posOffset>180340</wp:posOffset>
            </wp:positionV>
            <wp:extent cx="2691129" cy="5397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1129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7.99999999999983" w:type="dxa"/>
      </w:tblPr>
      <w:tblGrid>
        <w:gridCol w:w="3123"/>
        <w:gridCol w:w="3123"/>
        <w:gridCol w:w="3123"/>
      </w:tblGrid>
      <w:tr>
        <w:trPr>
          <w:trHeight w:hRule="exact" w:val="596"/>
        </w:trPr>
        <w:tc>
          <w:tcPr>
            <w:tcW w:type="dxa" w:w="6502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Intervenção nas instalações dos sistemas públicos de água e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esgoto que possam afetar a eficiência dos serviços </w:t>
            </w:r>
          </w:p>
        </w:tc>
        <w:tc>
          <w:tcPr>
            <w:tcW w:type="dxa" w:w="1156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399,57 </w:t>
            </w:r>
          </w:p>
        </w:tc>
      </w:tr>
      <w:tr>
        <w:trPr>
          <w:trHeight w:hRule="exact" w:val="596"/>
        </w:trPr>
        <w:tc>
          <w:tcPr>
            <w:tcW w:type="dxa" w:w="6502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Reincidência das infrações descritas acima (dobro do valor da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respectiva infração) </w:t>
            </w:r>
          </w:p>
        </w:tc>
        <w:tc>
          <w:tcPr>
            <w:tcW w:type="dxa" w:w="1156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6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Dobro do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valor </w:t>
            </w:r>
          </w:p>
        </w:tc>
      </w:tr>
    </w:tbl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Esta Resolução entrará em vigor na data de sua publicação. </w:t>
      </w:r>
    </w:p>
    <w:p>
      <w:pPr>
        <w:autoSpaceDN w:val="0"/>
        <w:autoSpaceDE w:val="0"/>
        <w:widowControl/>
        <w:spacing w:line="197" w:lineRule="auto" w:before="93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9024" w:val="left"/>
        </w:tabs>
        <w:autoSpaceDE w:val="0"/>
        <w:widowControl/>
        <w:spacing w:line="197" w:lineRule="auto" w:before="1072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559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3</w:t>
      </w:r>
    </w:p>
    <w:sectPr w:rsidR="00FC693F" w:rsidRPr="0006063C" w:rsidSect="00034616">
      <w:pgSz w:w="11906" w:h="16841"/>
      <w:pgMar w:top="142" w:right="1120" w:bottom="482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