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-57150</wp:posOffset>
            </wp:positionH>
            <wp:positionV relativeFrom="page">
              <wp:posOffset>9841230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2524760</wp:posOffset>
            </wp:positionH>
            <wp:positionV relativeFrom="page">
              <wp:posOffset>180340</wp:posOffset>
            </wp:positionV>
            <wp:extent cx="2691129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129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560, DE 14 DE MAIO DE 2024 </w:t>
      </w:r>
    </w:p>
    <w:p>
      <w:pPr>
        <w:autoSpaceDN w:val="0"/>
        <w:autoSpaceDE w:val="0"/>
        <w:widowControl/>
        <w:spacing w:line="245" w:lineRule="auto" w:before="1224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 §2º do art. 112, do ANEXO A,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425, de 01/04/2022, que </w:t>
      </w:r>
      <w:r>
        <w:rPr>
          <w:rFonts w:ascii="Calibri" w:hAnsi="Calibri" w:eastAsia="Calibri"/>
          <w:b w:val="0"/>
          <w:i/>
          <w:color w:val="000000"/>
          <w:sz w:val="24"/>
        </w:rPr>
        <w:t>aprovou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Regulamento de Prestação dos Serviços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Abastecimento de Água e Esgotamento Sanitário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Atendimento aos Usuários do Município de Artur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Nogueira,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da Cláusula 32ª, inciso III, do Protocolo de Intenções,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do artigo 28, inciso III, do Estatuto Social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da Lei municipal nº 3.006, de 17/12/2010,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Artur Nogueira ratificou o Protocolo de Intenções da ARES-PCJ, delegando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 fiscalização dos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art. 23 da Lei federal nº 11.445</w:t>
      </w:r>
      <w:r>
        <w:rPr>
          <w:rFonts w:ascii="Calibri" w:hAnsi="Calibri" w:eastAsia="Calibri"/>
          <w:b w:val="0"/>
          <w:i w:val="0"/>
          <w:color w:val="000000"/>
          <w:sz w:val="24"/>
        </w:rPr>
        <w:t>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define os aspectos normativos em que as agências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reguladoras editarão normas relativas às dimensões técnica, econômica e social de prestação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50/2014, em especial nos arts. 45 e 46,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delimitam a forma e a obrigação do prestador de serviços de saneamento básico em editar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visando a divulgação do 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SAEAN – Serviço de Água e Esgoto de Artur Nogueira solicitou alteração do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Serviços (Anexo A da Resolução ARES-PCJ nº 425/2022), via e-mail, para adequar o horário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realização das leituras;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92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14 de maio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6"/>
        <w:gridCol w:w="4716"/>
      </w:tblGrid>
      <w:tr>
        <w:trPr>
          <w:trHeight w:hRule="exact" w:val="240"/>
        </w:trPr>
        <w:tc>
          <w:tcPr>
            <w:tcW w:type="dxa" w:w="6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560 – 14/05/2024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142" w:right="1056" w:bottom="51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-57150</wp:posOffset>
            </wp:positionH>
            <wp:positionV relativeFrom="page">
              <wp:posOffset>9841230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2524760</wp:posOffset>
            </wp:positionH>
            <wp:positionV relativeFrom="page">
              <wp:posOffset>180340</wp:posOffset>
            </wp:positionV>
            <wp:extent cx="2691129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129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Alterar a redação do § 2º do art. 112, do ANEXO A, da Resolução ARES-PCJ nº 425,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01/04/2022, que 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112...................................................................................................................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2º. Para que o PRESTADOR DE SERVIÇOS possa cumprir o cronograma de leituras, essas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poderão ser realizadas de segunda-feira a sábado, das 06:30 às 18:00, a critério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DE SERVIÇOS, por pessoas por ele autorizadas e devidamente identificadas.”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83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560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sectPr w:rsidR="00FC693F" w:rsidRPr="0006063C" w:rsidSect="00034616">
      <w:pgSz w:w="11906" w:h="16841"/>
      <w:pgMar w:top="142" w:right="1056" w:bottom="51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