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9792970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564, DE 03 DE JUNHO DE 2024 </w:t>
      </w:r>
    </w:p>
    <w:p>
      <w:pPr>
        <w:autoSpaceDN w:val="0"/>
        <w:autoSpaceDE w:val="0"/>
        <w:widowControl/>
        <w:spacing w:line="245" w:lineRule="auto" w:before="1520" w:after="26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Inclui o § 5º ao art. 23, do ANEXO A,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277, de 31/01/2019, que aprovou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Atibaia,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3.954, de 27/12/2010,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 da ARES-PCJ, delegando 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de 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SAAE –  Saneamento Ambiental Atibaia solicitou a alteração do Regulamento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(Anexo A da Resolução ARES-PCJ nº 277/2019), para admitir a instalação do medidor nas divisas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laterais do lote;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03 de junho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9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564 – 03/06/2024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62" w:right="1056" w:bottom="51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9792970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332740</wp:posOffset>
            </wp:positionV>
            <wp:extent cx="2697479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79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Incluir o § 5º ao art. 23, do ANEXO A, da Resolução ARES-PCJ nº 277, de 31/01/2019,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seguinte redação: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23...............................................................................................................................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5º - Excepcionalmente, será permitida a instalação do medidor nas divisas laterais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lote, com afastamento máximo de 1,50m (um metro e meio) da divisa frontal do lote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recuo de fechamento (muro, grade etc.) de largura mínima de 1,00m (um metro),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permitindo livre acesso pela calçada. (NR)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8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564 – 03/06/2024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262" w:right="1056" w:bottom="51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