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-86360</wp:posOffset>
            </wp:positionH>
            <wp:positionV relativeFrom="page">
              <wp:posOffset>9833610</wp:posOffset>
            </wp:positionV>
            <wp:extent cx="7739380" cy="1031917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319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246379</wp:posOffset>
            </wp:positionV>
            <wp:extent cx="2518410" cy="5397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20" w:after="0"/>
        <w:ind w:left="125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584, DE 24 DE OUTUBRO DE 2024</w:t>
      </w:r>
    </w:p>
    <w:p>
      <w:pPr>
        <w:autoSpaceDN w:val="0"/>
        <w:autoSpaceDE w:val="0"/>
        <w:widowControl/>
        <w:spacing w:line="245" w:lineRule="auto" w:before="346" w:after="0"/>
        <w:ind w:left="4254" w:right="160" w:firstLine="2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Aprova o Regulamento de Prestação dos Serviços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Públicos de Manejo de Resíduos Sólidos Domiciliares,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Comerciais e aqueles provenientes da Limpeza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Pública do Município de Atibaia / SP, e dá outras </w:t>
      </w:r>
      <w:r>
        <w:rPr>
          <w:rFonts w:ascii="Calibri" w:hAnsi="Calibri" w:eastAsia="Calibri"/>
          <w:b w:val="0"/>
          <w:i/>
          <w:color w:val="000000"/>
          <w:sz w:val="24"/>
        </w:rPr>
        <w:t>providências.</w:t>
      </w:r>
    </w:p>
    <w:p>
      <w:pPr>
        <w:autoSpaceDN w:val="0"/>
        <w:autoSpaceDE w:val="0"/>
        <w:widowControl/>
        <w:spacing w:line="245" w:lineRule="auto" w:before="344" w:after="0"/>
        <w:ind w:left="0" w:right="1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ARES-PCJ),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>no uso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de suas atribuições e na forma da Cláusula 32ª, inciso III, do Protocolo de Intenções da ARES-PCJ,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convertido em Contrato de Consórcio Público, e o artigo 28, inciso III, do Estatuto da ARES-PCJ e;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CONSIDERANDO: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0" w:right="1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através das premissas constantes na Lei Federal nº 11.445, de 05/01/2007 e suas alterações,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no Decreto Federal nº 7.217, de 21/06/2010 e na Lei Municipal nº 3.954/2010, pela qual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Município de Atibaia ratificou o Protocolo de Intenções da Agência Reguladora ARES-PCJ,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convertido em Contrato de Consórcio Público, e delegou as competências municipais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regulação e de fiscalização dos serviços de saneamento básico à esta Agência Reguladora; </w:t>
      </w:r>
    </w:p>
    <w:p>
      <w:pPr>
        <w:autoSpaceDN w:val="0"/>
        <w:autoSpaceDE w:val="0"/>
        <w:widowControl/>
        <w:spacing w:line="245" w:lineRule="auto" w:before="348" w:after="0"/>
        <w:ind w:left="0" w:right="1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o disposto nos artigos 23 e 27, da Lei federal nº 11.445/2007, definem os aspectos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normativos em que as agências reguladoras editarão normas relativas às dimensões técnicas,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econômicas e sociais de prestação dos serviços de saneamento básico;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1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Que, através da Resolução nº 187/2024, a Agência Nacional de Águas e Saneamento Básico 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ANA, emitiu a Norma de Referência nº 07/2024, para a regulação dos serviços públicos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saneamento básico, que dispõe sobre as condições gerais para a prestação direta ou mediante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concessão dos serviços públicos de limpeza urbana e de manejo de resíduos sólidos urbanos.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a Resolução ARES-PCJ nº 370/2020, estabelece as Condições Gerais de Prestação dos Serviços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Públicos de Limpeza Urbana e Manejo de Resíduos Sólidos Urbanos no âmbito dos municípios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associados à Agência Reguladora ARES-PCJ e define que é atribuição dos prestadores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saneamento básico editar Regulamento de Prestação desses Serviços;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0" w:right="1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a SAAE - Saneamento Ambiental de Atibaia, autarquia municipal responsável pelos serviços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públicos de Manejo de Resíduos Sólidos do Município de Atibaia, solicitou análise de seu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Regulamento, disciplinando a forma de prestação desses serviços e de atendimento; </w:t>
      </w:r>
    </w:p>
    <w:p>
      <w:pPr>
        <w:autoSpaceDN w:val="0"/>
        <w:autoSpaceDE w:val="0"/>
        <w:widowControl/>
        <w:spacing w:line="245" w:lineRule="auto" w:before="346" w:after="0"/>
        <w:ind w:left="0" w:right="1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a Agência Reguladora PCJ, através da Nota Técnica nº 15/2024, concluiu que o Regulamento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apresentado pelo SAAE - Saneamento Ambiental de Atibaia atende aos conteúdos mínimos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estabelecidos pela Resolução ARES-PCJ nº 370/2020;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14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Que, em face do cumprimento de todas as diretrizes, a Diretoria Executiva da Agência Reguladora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ARES-PCJ, reunida em 24 de outubro de 2024;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61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584 – 24/10/2024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6" w:h="16838"/>
          <w:pgMar w:top="194" w:right="916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-86360</wp:posOffset>
            </wp:positionH>
            <wp:positionV relativeFrom="page">
              <wp:posOffset>9833610</wp:posOffset>
            </wp:positionV>
            <wp:extent cx="7739380" cy="1031917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319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246379</wp:posOffset>
            </wp:positionV>
            <wp:extent cx="2518410" cy="5397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1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RESOLVE: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Art. 1º - Ratificar o teor da Nota Técnica nº 15/2024, com a consequente homologação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Regulamento de Prestação dos Serviços de Manejo de Resíduos Sólidos e Atendimento aos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Usuários do Município de Atibaia, cujo conteúdo em sua íntegra está inserido no Anexo A 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presente Resolução.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Art. 2º - Para conhecimento ou consulta do usuário, a SAAE - Saneamento Ambiental de Atibaia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deverá disponibilizar nos locais de atendimento e de fácil visualização e acesso, bem como em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seu sítio eletrônico, ou em outros meios de comunicação, o Regulamento ora homologado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930" w:after="0"/>
        <w:ind w:left="3456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DALTO FAVERO BROCHI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886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584 – 24/10/2024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6" w:h="16838"/>
          <w:pgMar w:top="194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-86360</wp:posOffset>
            </wp:positionH>
            <wp:positionV relativeFrom="page">
              <wp:posOffset>9833610</wp:posOffset>
            </wp:positionV>
            <wp:extent cx="7739380" cy="1031917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319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246379</wp:posOffset>
            </wp:positionV>
            <wp:extent cx="2518410" cy="53975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20" w:after="0"/>
        <w:ind w:left="124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584, DE 24 DE OUTUBRO DE 2024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197" w:lineRule="auto" w:before="1674" w:after="0"/>
        <w:ind w:left="0" w:right="4056" w:firstLine="0"/>
        <w:jc w:val="righ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ANEXO A </w:t>
      </w:r>
    </w:p>
    <w:p>
      <w:pPr>
        <w:autoSpaceDN w:val="0"/>
        <w:autoSpaceDE w:val="0"/>
        <w:widowControl/>
        <w:spacing w:line="197" w:lineRule="auto" w:before="145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40"/>
        </w:rPr>
        <w:t>SAAE - SANEAMENTO AMBIENTAL DE ATIBAIA</w:t>
      </w:r>
    </w:p>
    <w:p>
      <w:pPr>
        <w:autoSpaceDN w:val="0"/>
        <w:autoSpaceDE w:val="0"/>
        <w:widowControl/>
        <w:spacing w:line="240" w:lineRule="auto" w:before="137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1742439</wp:posOffset>
            </wp:positionH>
            <wp:positionV relativeFrom="page">
              <wp:posOffset>4583430</wp:posOffset>
            </wp:positionV>
            <wp:extent cx="4245610" cy="208661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5610" cy="20866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05" w:lineRule="auto" w:before="75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36"/>
        </w:rPr>
        <w:t xml:space="preserve">REGULAMENTO DE PRESTAÇÃO DE SERVIÇOS PÚBLICOS DE </w:t>
      </w:r>
      <w:r>
        <w:rPr>
          <w:rFonts w:ascii="Calibri" w:hAnsi="Calibri" w:eastAsia="Calibri"/>
          <w:b/>
          <w:i w:val="0"/>
          <w:color w:val="000000"/>
          <w:sz w:val="36"/>
        </w:rPr>
        <w:t>MANEJO DE RESÍDUOS SÓLIDOS DOMICILIARES, COMERCIAIS</w:t>
      </w:r>
      <w:r>
        <w:rPr>
          <w:rFonts w:ascii="Calibri" w:hAnsi="Calibri" w:eastAsia="Calibri"/>
          <w:b/>
          <w:i w:val="0"/>
          <w:color w:val="000000"/>
          <w:sz w:val="36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36"/>
        </w:rPr>
        <w:t>E AQUELES PROVENIENTES DA LIMPEZA PÚBLICA</w:t>
      </w:r>
      <w:r>
        <w:rPr>
          <w:rFonts w:ascii="Calibri" w:hAnsi="Calibri" w:eastAsia="Calibri"/>
          <w:b/>
          <w:i w:val="0"/>
          <w:color w:val="000000"/>
          <w:sz w:val="36"/>
        </w:rPr>
        <w:t xml:space="preserve">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260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584 – 24/10/2024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6" w:h="16838"/>
          <w:pgMar w:top="194" w:right="1156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-86360</wp:posOffset>
            </wp:positionH>
            <wp:positionV relativeFrom="page">
              <wp:posOffset>9833610</wp:posOffset>
            </wp:positionV>
            <wp:extent cx="7739380" cy="1031917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319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246379</wp:posOffset>
            </wp:positionV>
            <wp:extent cx="2518410" cy="53975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12" w:after="0"/>
        <w:ind w:left="0" w:right="14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REGULAMENTO DE PRESTAÇÃO DE SERVIÇOS PÚBLICOS DE </w:t>
      </w:r>
      <w:r>
        <w:rPr>
          <w:rFonts w:ascii="Calibri" w:hAnsi="Calibri" w:eastAsia="Calibri"/>
          <w:b/>
          <w:i w:val="0"/>
          <w:color w:val="000000"/>
          <w:sz w:val="24"/>
        </w:rPr>
        <w:t>MANEJO DE RESÍDUOS SÓLIDOS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4"/>
        </w:rPr>
        <w:t>DOMICILIARES, COMERCIAIS E AQUELES PROVENIENTES DA LIMPEZA PÚBLICA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2880" w:right="302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DISPOSIÇÕES PRELIMINARES </w:t>
      </w:r>
    </w:p>
    <w:p>
      <w:pPr>
        <w:autoSpaceDN w:val="0"/>
        <w:autoSpaceDE w:val="0"/>
        <w:widowControl/>
        <w:spacing w:line="245" w:lineRule="auto" w:before="344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</w:t>
      </w:r>
      <w:r>
        <w:rPr>
          <w:rFonts w:ascii="Calibri" w:hAnsi="Calibri" w:eastAsia="Calibri"/>
          <w:b w:val="0"/>
          <w:i w:val="0"/>
          <w:color w:val="000000"/>
          <w:sz w:val="24"/>
        </w:rPr>
        <w:t>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de competência da SAAE – Atibaia a prestação dos serviços públicos de manejo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>resíduos sólidos domiciliares, comerciais e aqueles provenientes da limpeza pública, nos termos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da Lei Complementar Municipal nº 835/2020.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Art. 2º – Para fins desta Resolução ficam adotadas as definições constantes da Resolução nº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370/2020 – ARES-PCJ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 da Norma de Referência ANA nº 7/2024.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2880" w:right="288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DAS OBRIGAÇÕES DOS USUÁRIOS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Art. 3º</w:t>
      </w:r>
      <w:r>
        <w:rPr>
          <w:rFonts w:ascii="Calibri" w:hAnsi="Calibri" w:eastAsia="Calibri"/>
          <w:b w:val="0"/>
          <w:i w:val="0"/>
          <w:color w:val="000000"/>
          <w:sz w:val="24"/>
        </w:rPr>
        <w:t>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Cabe aos próprios usuários à responsabilidade pelo acondicionamento e disposição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coleta dos resíduos sólidos, nos termos deste Regulamento.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Art. 4º</w:t>
      </w:r>
      <w:r>
        <w:rPr>
          <w:rFonts w:ascii="Calibri" w:hAnsi="Calibri" w:eastAsia="Calibri"/>
          <w:b w:val="0"/>
          <w:i w:val="0"/>
          <w:color w:val="000000"/>
          <w:sz w:val="24"/>
        </w:rPr>
        <w:t>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resíduos sólidos urbanos domiciliares e comerciais, destinados à coleta regular,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deverão ser obrigatoriamente, acondicionados e apresentados para a coleta exclusivamente 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dias, turnos e horários explicitamente definidos pela SAAE, cumprindo aos usuários dispor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resíduo corretamente acondicionado, no período previsto pelo prestador para a coleta.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</w:t>
      </w:r>
      <w:r>
        <w:rPr>
          <w:rFonts w:ascii="Calibri" w:hAnsi="Calibri" w:eastAsia="Calibri"/>
          <w:b w:val="0"/>
          <w:i w:val="0"/>
          <w:color w:val="000000"/>
          <w:sz w:val="24"/>
        </w:rPr>
        <w:t>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resíduo a ser coletado deverá apresentar-se dentro de um ou mais recipientes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capacidade máxima de 100 (cem) litros.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</w:t>
      </w:r>
      <w:r>
        <w:rPr>
          <w:rFonts w:ascii="Calibri" w:hAnsi="Calibri" w:eastAsia="Calibri"/>
          <w:b w:val="0"/>
          <w:i w:val="0"/>
          <w:color w:val="000000"/>
          <w:sz w:val="24"/>
        </w:rPr>
        <w:t>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usuários deverão adquirir, por seus próprios meios, os sacos plásticos ou outras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embalagens permitidas pela SAAE, destinados ao acondicionamento dos resíduos sólidos a serem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apresentados para a coleta.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– Antes do acondicionamento dos resíduos em sacos plásticos, é obrigação dos usuários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eliminar restos de líquidos, bem como a embalar convenientemente materiais pontiagudos,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perfurocortantes ou perfurantes neles eventualmente contidos, de modo a prevenir a ocorrência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acidentes com os trabalhadores da coleta.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8º – Antes de destinarem seus resíduos sólidos à coleta regular, deverão os usuários, nas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áreas urbanas e rurais, beneficiadas com equipamentos destinados à coleta seletiva, ou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possuírem a coleta seletiva porta a porta, separar adequadamente os resíduos recicláveis,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deverão ser periodicamente transportados até seus contentores específicos ou apresentados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coleta nos dias e horários estabelecidos pela SAAE.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9º – É proibido o armazenamento de resíduos nos domicílios ou comércios em volume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cause qualquer tipo de poluição, prejuízo à saúde ambiental ou que propiciem a multiplicação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vetores ou outros animais nocivos à saúde humana.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66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584 – 24/10/2024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6" w:h="16838"/>
          <w:pgMar w:top="194" w:right="1060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-86360</wp:posOffset>
            </wp:positionH>
            <wp:positionV relativeFrom="page">
              <wp:posOffset>9833610</wp:posOffset>
            </wp:positionV>
            <wp:extent cx="7739380" cy="1031917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319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246379</wp:posOffset>
            </wp:positionV>
            <wp:extent cx="2518410" cy="53975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1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 – Não poderão ser acondicionados com o resíduo domiciliar ou comercial materiais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perfurantes e/ou cortantes, não protegidos por invólucros próprios, bem como resíduos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saúde, quaisquer materiais radioativos, explosivos, resíduos e materiais tóxicos ou corrosivos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geral, lâmpadas fluorescentes, pilhas, baterias, produtos eletrônicos, óleos lubrificantes, colas,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tintas, produtos químicos similares e embalagens contaminadas por produtos perigosos.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 – Toda edificação deverá ser dotada de local adequado para recipiente de resíduo,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livre e fácil acesso aos coletores, o que deve ser providenciado pelos usuários.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 – Exceto se enquadrados como grandes geradores, os condomínios verticais, comerciais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residenciais, deverão dispor de contentor ou local adequado para o acondicionamento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resíduos gerados, incluindo recipientes específicos para o acondicionamento de resíduos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forma segregada sempre que houver disponibilização do serviço de coleta seletiva. </w:t>
      </w:r>
    </w:p>
    <w:p>
      <w:pPr>
        <w:autoSpaceDN w:val="0"/>
        <w:autoSpaceDE w:val="0"/>
        <w:widowControl/>
        <w:spacing w:line="245" w:lineRule="auto" w:before="346" w:after="0"/>
        <w:ind w:left="2736" w:right="273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SERVIÇO DE COLETA DE RESÍDUO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13 – A SAAE divulgará os dias e horários estabelecidos para a coleta dos resíduos </w:t>
      </w:r>
      <w:r>
        <w:rPr>
          <w:rFonts w:ascii="Calibri" w:hAnsi="Calibri" w:eastAsia="Calibri"/>
          <w:b w:val="0"/>
          <w:i w:val="0"/>
          <w:color w:val="000000"/>
          <w:sz w:val="24"/>
        </w:rPr>
        <w:t>sólidos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domiciliares e comerciais, bem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orientações aos usuários a respeito da adequada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disponibilização dos resíduos para coleta, incluindo as recomendações para separação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>resíduos quando disponibilizado sistema de coleta seletiva</w:t>
      </w:r>
      <w:r>
        <w:rPr>
          <w:rFonts w:ascii="Calibri" w:hAnsi="Calibri" w:eastAsia="Calibri"/>
          <w:b w:val="0"/>
          <w:i w:val="0"/>
          <w:color w:val="000000"/>
          <w:sz w:val="24"/>
        </w:rPr>
        <w:t>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As informações relacionadas no caput serão disponibilizadas ao usuário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forma de carta de serviços ou manual de prestação do serviço e de atendimento ao usuário.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14 – Os dias e os horários estabelecidos para a realização da coleta regular em cada via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logradouro público poderão ser alterados pela SAAE, a qualquer momento, de modo a melhor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atender à conveniência coletiva, desde que após prévia e expressa comunicação aos usuários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diretamente afetados, com a antecedência mínima de 07 (sete) dias. </w:t>
      </w:r>
    </w:p>
    <w:p>
      <w:pPr>
        <w:autoSpaceDN w:val="0"/>
        <w:autoSpaceDE w:val="0"/>
        <w:widowControl/>
        <w:spacing w:line="245" w:lineRule="auto" w:before="346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15 – A SAAE, a seu critério, poderá disponibilizar contêineres, sejam metálicos ou em PEAD,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outros recipientes apropriados para a coleta dos resíduos domiciliares e comerciais, após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análise de viabilidade técnica. </w:t>
      </w:r>
    </w:p>
    <w:p>
      <w:pPr>
        <w:autoSpaceDN w:val="0"/>
        <w:autoSpaceDE w:val="0"/>
        <w:widowControl/>
        <w:spacing w:line="245" w:lineRule="auto" w:before="346" w:after="0"/>
        <w:ind w:left="2016" w:right="201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GRANDES GERADORES E DA DESTINAÇÃO FINAL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EFETUADA POR PARTICULARES </w:t>
      </w:r>
    </w:p>
    <w:p>
      <w:pPr>
        <w:autoSpaceDN w:val="0"/>
        <w:autoSpaceDE w:val="0"/>
        <w:widowControl/>
        <w:spacing w:line="245" w:lineRule="auto" w:before="344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16 – A execução dos serviços de coleta de resíduos sólidos comerciais, com volume médio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diário superior a 100 litros, será feita diretamente por empresas particulares contratadas pelos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respectivos geradores, desde que previamente credenciadas pela SAAE.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17 – A coleta regular de resíduos comerciais dos grandes geradores por particulares só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poderá ser feita se permitida expressamente pela SAAE, sob pena de aplicação da multa cabível.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95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584 – 24/10/2024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6" w:h="16838"/>
          <w:pgMar w:top="194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-86360</wp:posOffset>
            </wp:positionH>
            <wp:positionV relativeFrom="page">
              <wp:posOffset>9833610</wp:posOffset>
            </wp:positionV>
            <wp:extent cx="7739380" cy="1031917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319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246379</wp:posOffset>
            </wp:positionV>
            <wp:extent cx="2518410" cy="53975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7" w:lineRule="auto" w:before="51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18 </w:t>
      </w:r>
      <w:r>
        <w:rPr>
          <w:rFonts w:ascii="Calibri" w:hAnsi="Calibri" w:eastAsia="Calibri"/>
          <w:b w:val="0"/>
          <w:i w:val="0"/>
          <w:color w:val="000000"/>
          <w:sz w:val="24"/>
        </w:rPr>
        <w:t>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interessados em destinar seus resíduos diretamente na Central de Triagem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Transbordo da SAAE, mediante o pagamento da tarifa correspondente, deverão seguir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seguintes normas: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</w:t>
      </w:r>
      <w:r>
        <w:rPr>
          <w:rFonts w:ascii="Calibri" w:hAnsi="Calibri" w:eastAsia="Calibri"/>
          <w:b w:val="0"/>
          <w:i w:val="0"/>
          <w:color w:val="000000"/>
          <w:sz w:val="24"/>
        </w:rPr>
        <w:t>–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poderá ser recepcionado resíduo vegetal oriundo de poda, capinação ou roçada;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para a descarga de tocos, troncos com raízes ou até mesmo galharias provenientes da retirada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árvores de grande porte, a SAAE deverá ser consultada, podendo autorizar ou não a descarga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desse tipo de material, inclusive condicionando à redução das proporções;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os resíduos recicláveis poderão ser recebidos diretamente pela SAAE, em sua Central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Triagem e Transbordo, sem ônus ao interessado, desde que a SAAE constate se tratar unicamente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resíduos dessa natureza;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– para destinação de qualquer outro tipo de material, a SAAE deverá ser consultada, a fim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indicar o destino a ser dado a tais resíduos.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Art. 19 – O valor da tarifa para a destinação final de resíduos sólidos na Central de Triagem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Transbordo da SAAE será autorizado em ato normativo específico da ARES-PCJ.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Art. 20 – A contratação de serviços de coleta, armazenamento, transporte, transbordo,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tratamento ou destinação final de resíduos sólidos não isenta os grandes geradores 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responsabilidade por danos provocados pelo gerenciamento inadequado dos seus resíduos ou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rejeitos.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404" w:val="left"/>
          <w:tab w:pos="4076" w:val="left"/>
        </w:tabs>
        <w:autoSpaceDE w:val="0"/>
        <w:widowControl/>
        <w:spacing w:line="324" w:lineRule="auto" w:before="348" w:after="0"/>
        <w:ind w:left="0" w:right="0" w:firstLine="0"/>
        <w:jc w:val="left"/>
      </w:pP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INFRAÇÕES E PENALIDADES RELATIVAS A RESÍDUOS SÓLIDOS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21 – São consideradas infrações a este Regulamento, além de outras já previstas: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dispor os resíduos para coleta em forma ou local inadequado, ou em horário e período diverso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estabelecido para a coleta, sob pena de multa de 50 (cinquenta) UVRM;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apresentar para a coleta regular de resíduo domiciliar e comercial, resíduos da saúde,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contato com doentes, explosivos, tóxicos ou corrosivos, perfurantes e/ou cortantes sem a devida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proteção, lâmpadas fluorescentes, pilhas, baterias, colas e produtos químicos similares, sob pena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multa de 200 (duzentas) UVRM;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não dispor de local adequado para recipiente de resíduos, com livre e fácil acesso aos </w:t>
      </w:r>
      <w:r>
        <w:rPr>
          <w:rFonts w:ascii="Calibri" w:hAnsi="Calibri" w:eastAsia="Calibri"/>
          <w:b w:val="0"/>
          <w:i w:val="0"/>
          <w:color w:val="000000"/>
          <w:sz w:val="24"/>
        </w:rPr>
        <w:t>coletores (lixeira externa), sob pena de multa de 100 (cem) UVRM.</w:t>
      </w:r>
    </w:p>
    <w:p>
      <w:pPr>
        <w:autoSpaceDN w:val="0"/>
        <w:autoSpaceDE w:val="0"/>
        <w:widowControl/>
        <w:spacing w:line="386" w:lineRule="auto" w:before="348" w:after="0"/>
        <w:ind w:left="0" w:right="288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22 – Aos infratores serão aplicadas as seguintes penalidades: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advertência e orientação;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multa, na reincidência;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3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584 – 24/10/2024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sectPr>
          <w:pgSz w:w="11906" w:h="16838"/>
          <w:pgMar w:top="194" w:right="1060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-86360</wp:posOffset>
            </wp:positionH>
            <wp:positionV relativeFrom="page">
              <wp:posOffset>9833610</wp:posOffset>
            </wp:positionV>
            <wp:extent cx="7739380" cy="1031917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319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246379</wp:posOffset>
            </wp:positionV>
            <wp:extent cx="2518410" cy="53975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05" w:lineRule="auto" w:before="80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multa, aplicada no dobro daquela anteriormente imposta, a partir da terceira ocorrência.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23 – Será punida com multa de 100 (cem) UVRM qualquer infração ao presente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Regulamento, que não tenha expressa a respectiva penalidade. </w:t>
      </w:r>
    </w:p>
    <w:p>
      <w:pPr>
        <w:autoSpaceDN w:val="0"/>
        <w:tabs>
          <w:tab w:pos="3016" w:val="left"/>
          <w:tab w:pos="4046" w:val="left"/>
        </w:tabs>
        <w:autoSpaceDE w:val="0"/>
        <w:widowControl/>
        <w:spacing w:line="336" w:lineRule="auto" w:before="344" w:after="0"/>
        <w:ind w:left="0" w:right="0" w:firstLine="0"/>
        <w:jc w:val="left"/>
      </w:pP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CONSTATAÇÃO E APREENSÃO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24 – Constatando a SAAE, através de seus servidores designados, qualquer infração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disposto neste Regulamento, lavrará o competente Auto de Constatação e Apreensão, em duas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vias, com a seguinte destinação: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primeira via, constituirá a peça inicial do processo administrativo;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segunda via, será entregue imediatamente ou posteriormente encaminhada ao autuado. </w:t>
      </w:r>
    </w:p>
    <w:p>
      <w:pPr>
        <w:autoSpaceDN w:val="0"/>
        <w:autoSpaceDE w:val="0"/>
        <w:widowControl/>
        <w:spacing w:line="30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– O auto lavrado será assinado pelo autuante e pelo autuado ou seu representante.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– A assinatura do autuado não constitui formalidade essencial à sua validade e não implica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confissão da falta, nem a sua recusa agravará a infração.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– Se o infrator não puder ou não quiser assinar o auto, far-se-á menção expressa dessa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circunstância, dando-se o mesmo por ciente, para todos os efeitos legais.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– Se o infrator estiver ausente, tomará ciência da constatação e apreensão quando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notificação referente ao Auto de Infração. </w:t>
      </w:r>
    </w:p>
    <w:p>
      <w:pPr>
        <w:autoSpaceDN w:val="0"/>
        <w:autoSpaceDE w:val="0"/>
        <w:widowControl/>
        <w:spacing w:line="245" w:lineRule="auto" w:before="346" w:after="0"/>
        <w:ind w:left="0" w:right="3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 – Os servidores da SAAE deverão, sempre que a remoção dos bens ou materiais prejudicar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caracterização da infração, fotografar previamente o local, bem como colher todos os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meios de prova existentes.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25 – O órgão municipal de gestão de resíduos sólidos, juntamente com o órgão ambiental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e a fiscalização ou vigilância sanitária municipal, exercerão as atividades de fiscalização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disposto neste regulamento, através de funcionários cujas funções sejam compatíveis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 atividade.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26 – O servidor que lavrar o Auto de Constatação e Apreensão deverá encaminhá-lo dentro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01 (um) dia útil para a Diretoria de Resíduos e Meio Ambiente. </w:t>
      </w:r>
    </w:p>
    <w:p>
      <w:pPr>
        <w:autoSpaceDN w:val="0"/>
        <w:autoSpaceDE w:val="0"/>
        <w:widowControl/>
        <w:spacing w:line="30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27 – Presume-se autor da infração o usuário do imóvel onde for constatada a irregularidade.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– Tal presunção somente poderá ser elidida mediante prova documental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contrário e indicação precisa do real infrator.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95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584 – 24/10/2024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sectPr>
          <w:pgSz w:w="11906" w:h="16838"/>
          <w:pgMar w:top="194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-86360</wp:posOffset>
            </wp:positionH>
            <wp:positionV relativeFrom="page">
              <wp:posOffset>9833610</wp:posOffset>
            </wp:positionV>
            <wp:extent cx="7739380" cy="1031917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319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246379</wp:posOffset>
            </wp:positionV>
            <wp:extent cx="2518410" cy="53975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232" w:val="left"/>
          <w:tab w:pos="4014" w:val="left"/>
        </w:tabs>
        <w:autoSpaceDE w:val="0"/>
        <w:widowControl/>
        <w:spacing w:line="288" w:lineRule="auto" w:before="512" w:after="0"/>
        <w:ind w:left="0" w:right="0" w:firstLine="0"/>
        <w:jc w:val="left"/>
      </w:pP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VII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AUTO DE INFRAÇÃO E IMPOSIÇÃO DE MULTA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28 – As ações ou omissões contrárias a este Regulamento serão apuradas por autuação,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fim de determinar o responsável, aplicando-se ao infrator a pena correspondente. </w:t>
      </w:r>
    </w:p>
    <w:p>
      <w:pPr>
        <w:autoSpaceDN w:val="0"/>
        <w:autoSpaceDE w:val="0"/>
        <w:widowControl/>
        <w:spacing w:line="329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29 – A Chefia de Departamento, tendo em vista o Auto de Constatação e Apreensão, lavrará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respectivo Auto de Infração e Imposição de Multa, juntamente com a notificação, em um só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documento, com a seguinte destinação: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primeira via, integrará o processo administrativo;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segunda via, será encaminhada ao autuado.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30 – Lavrado o Auto de Infração e Imposição de Multa/Notificação, este será encaminhado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autuado dentro de 03 (três) dias úteis.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– O Auto/Notificação lavrado será assinado pelo autuante e pelo autuado ou seu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representante.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– A assinatura do autuado não constitui formalidade essencial à sua validade e não implica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confissão da falta, nem a sua recusa agravará a infração.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– Se o infrator não puder ou não quiser assinar o Auto/Notificação, far-se-á menção expressa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dessa circunstância, dando-se o infrator por notificado para todos os efeitos legais.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– Se o infrator estiver ausente e não for encontrado, far-se-á a autuação/notificação,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publicação, apenas uma vez, na Imprensa Oficial do Município. </w:t>
      </w:r>
    </w:p>
    <w:p>
      <w:pPr>
        <w:autoSpaceDN w:val="0"/>
        <w:autoSpaceDE w:val="0"/>
        <w:widowControl/>
        <w:spacing w:line="245" w:lineRule="auto" w:before="344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31 – Fica dispensada a lavratura de Auto de Constatação e Apreensão, bem como de Auto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Infração e Imposição de Multa/Notificação, apenas para o caso de advertência, devendo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apenas a ocorrência ficar registrada em processo próprio.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– Para imposição das multas, é indispensável a lavratura dos referidos autos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demais procedimentos. </w:t>
      </w:r>
    </w:p>
    <w:p>
      <w:pPr>
        <w:autoSpaceDN w:val="0"/>
        <w:tabs>
          <w:tab w:pos="2158" w:val="left"/>
          <w:tab w:pos="3980" w:val="left"/>
        </w:tabs>
        <w:autoSpaceDE w:val="0"/>
        <w:widowControl/>
        <w:spacing w:line="288" w:lineRule="auto" w:before="346" w:after="0"/>
        <w:ind w:left="0" w:right="0" w:firstLine="0"/>
        <w:jc w:val="left"/>
      </w:pP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VIII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PROCESSO ADMINISTRATIVO E AMPLA DEFESA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32 – Notificado o autuado, pessoalmente ou por edital, caberá recurso dentro do prazo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15 (quinze) dias. </w:t>
      </w:r>
    </w:p>
    <w:p>
      <w:pPr>
        <w:autoSpaceDN w:val="0"/>
        <w:autoSpaceDE w:val="0"/>
        <w:widowControl/>
        <w:spacing w:line="30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33 – O recurso em primeira instância será apreciado pela Diretoria de Resíduos e Meio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Ambiente e deverá conter: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qualificação completa do interessado;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36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584 – 24/10/2024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 </w:t>
      </w:r>
    </w:p>
    <w:p>
      <w:pPr>
        <w:sectPr>
          <w:pgSz w:w="11906" w:h="16838"/>
          <w:pgMar w:top="194" w:right="1060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-86360</wp:posOffset>
            </wp:positionH>
            <wp:positionV relativeFrom="page">
              <wp:posOffset>9833610</wp:posOffset>
            </wp:positionV>
            <wp:extent cx="7739380" cy="1031917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10319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246379</wp:posOffset>
            </wp:positionV>
            <wp:extent cx="2518410" cy="53975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38" w:lineRule="auto" w:before="804" w:after="0"/>
        <w:ind w:left="0" w:right="388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motivos de fato e de direito que embasam o pedido;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objetivo visado pelo recurso.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34 – Dessa decisão, cabe recurso em segunda instância, dentro do prazo de 15 (quinze) dias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partir da notificação, que será apreciado pela Superintendência. </w:t>
      </w:r>
    </w:p>
    <w:p>
      <w:pPr>
        <w:autoSpaceDN w:val="0"/>
        <w:autoSpaceDE w:val="0"/>
        <w:widowControl/>
        <w:spacing w:line="245" w:lineRule="auto" w:before="346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35 – As decisões de primeira e segunda instâncias, poderão acolher ou não os pedidos, total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parcialmente, cabendo a redução das multas aplicadas em até 50% (cinquenta por cento)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caso de acolhimento parcial.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– Todos os julgamentos deverão ser justificados, ainda que sucintamente, sob pena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nulidade. </w:t>
      </w:r>
    </w:p>
    <w:p>
      <w:pPr>
        <w:autoSpaceDN w:val="0"/>
        <w:autoSpaceDE w:val="0"/>
        <w:widowControl/>
        <w:spacing w:line="245" w:lineRule="auto" w:before="344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– As autoridades responsáveis pelo julgamento poderão determinar perícias, diligências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solicitar pareceres, não estando adstritas às alegações formuladas, devendo julgar conforme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sua convicção e as provas constantes do processo.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– O prazo para julgamento em primeira e segunda instâncias é de 05 (cinco) dias úteis,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partir do recebimento do processo.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 – Os recursos intempestivos não serão apreciados.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 – Se o recurso for julgado improcedente, as penalidades serão atualizadas monetariamente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acrescidas de multa e juros de mora, a partir do vencimento.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36 – São definitivas as decisões de primeira instância, quando esgotado o prazo de recurso,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sem que esse tenha sido interposto.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– Tornar-se-á definitiva desde logo, a parte da decisão que não tenha sido objeto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recurso, nos casos de recursos parciais. </w:t>
      </w:r>
    </w:p>
    <w:p>
      <w:pPr>
        <w:autoSpaceDN w:val="0"/>
        <w:tabs>
          <w:tab w:pos="3434" w:val="left"/>
          <w:tab w:pos="4050" w:val="left"/>
        </w:tabs>
        <w:autoSpaceDE w:val="0"/>
        <w:widowControl/>
        <w:spacing w:line="288" w:lineRule="auto" w:before="346" w:after="0"/>
        <w:ind w:left="0" w:right="0" w:firstLine="0"/>
        <w:jc w:val="left"/>
      </w:pP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IX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DISPOSIÇÕES FINAIS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37 – Os prazos previstos neste Regulamento serão contados em dias úteis, excluindo-se 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início e incluindo-se o do vencimento, só se iniciando e vencendo em dia útil.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38 – Compete à SAAE e aos usuários observar integralmente a Resolução ARES-PCJ nº 370,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21 de dezembro de 2020, bem como a Lei Complementar Municipal nº 486/2005 ou quaisquer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venham a substituí-las.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39 – Cabe à ARES-PCJ resolver os casos omissos ou as dúvidas suscitadas na aplicação deste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Regulamento, inclusive deliberando sobre reclamações dos usuários a ela encaminhadas.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66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584 – 24/10/2024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9 </w:t>
      </w:r>
    </w:p>
    <w:sectPr w:rsidR="00FC693F" w:rsidRPr="0006063C" w:rsidSect="00034616">
      <w:pgSz w:w="11906" w:h="16838"/>
      <w:pgMar w:top="194" w:right="1058" w:bottom="548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