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4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39340" cy="53974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588, DE 18 DE NOVEMBRO DE 2024 </w:t>
      </w:r>
    </w:p>
    <w:p>
      <w:pPr>
        <w:autoSpaceDN w:val="0"/>
        <w:autoSpaceDE w:val="0"/>
        <w:widowControl/>
        <w:spacing w:line="245" w:lineRule="auto" w:before="640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alíquotas, metodologias de cálculos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valores e formas de cobrança e repasse da Taxa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Regulação e Fiscalização (RSU) - Exercício de 2025,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referente aos serviços de Limpeza Urbana e Manejo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Resíduos Sólidos dos municípios consorciados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conveniados à ARES-PCJ,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suas atribuições e na forma da Cláusula 32ª, incisos I, II e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Público, e o Artigo 29, incisos I, II e III, do Estatuto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ARES-PCJ e;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em conformidade com o Inciso XV, da Cláusula 20ª, do Protocolo de Intenções da 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>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compete à Assembleia Geral da ARES-PCJ deliberar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a fixação, revisão e reajustes dos valores das taxas e tarifas e outros preços públicos,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referentes aos serviços prestados pela Agência Reguladora ARES-PCJ;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Cláusula 68ª, do Protocolo de Intenções da ARES-PCJ, define que a Taxa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tem como fato gerador o desempenho das atividades de regulação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saneamento básico, delegadas pelos municípios associados,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tendo como sujeitos passivos os prestadores desses serviços;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§ 2º da Cláusula 69ª, do Protocolo de Intenções da ARES-PCJ, prevê que a alíquota da Taxa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 Fiscalização poderá ser revista, observados critérios técnicos de cálculo do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Agência Reguladora ARES-PCJ, com aprovação da Assembleia Geral;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§4º do Art. 67, do Estatuto da ARES-PCJ, recém alterado, define que a alíquota,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metodologia de apuração e forma de repasse do valor referente à Taxa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serão definidas em Resolução específica da Agência Reguladora ARES-PCJ.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nos municípios associados à ARES-PCJ, os serviços de Limpeza Urbana e Manejo de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Sólidos são prestados de forma direta (prefeitura, autarquia, empresa pública e de economia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mista) ou através de contratos de concessão ou de parceria público-privada (empresas privadas);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nos municípios associados à ARES-PCJ, há prestadores de serviços de Limpeza Urbana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Manejo de Resíduos Sólidos que atuam através de contratos de concessão ou de parceria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45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588 – 18/11/2024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350" w:right="1058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4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39340" cy="53974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público-privada que possuem cláusulas específicas que definem a alíquota da Taxa de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Fiscalização;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na 27ª Assembleia Geral Ordinária da ARES-PCJ, realizada no dia 07 de novembro de 2024,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foi aprovada a manutenção da alíquota de 0,25% (vinte centésimos por cento) para a Taxa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 (Limpeza Urbana e Manejo de Resíduos Sólidos) - Exercício 2025, a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cobrada apenas dos prestadores dos serviços de Manejo de Resíduos Sólidos, e mantida,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também, como base de cálculo, os valores de 2023 da Receita Requerida desses serviços;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baseada na proposta aprovada na 27ª Assembleia Geral Ordinária da ARES-PCJ e, a fim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fixar a alíquota e definir as metodologias de cálculo dos valores e formas de cobrança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repasse da Taxa de Regulação e Fiscalização (RSU) - Exercício 2025, a Diretoria Colegiada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ARES-PCJ, reunida em 18 de novembro de 2024,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Fixar a alíquota e definir as metodologias de cálculos dos valores e as formas de cobrança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repasse da Taxa de Regulação e Fiscalização (RSU), referente ao Exercício de 2025, a ser cobrada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apenas dos prestadores dos serviços de Manejo de Resíduos Sólidos dos municípios associados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ARES-PCJ.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A alíquota da Taxa de Regulação e Fiscalização (Limpeza Urbana e Manejo de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Sólidos) - Exercício de 2025, para municípios com Prestação Direta (prefeituras, autarquias,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empresas públicas e de economia mista), será de 0,25% (vinte e cinco centésimos por cento),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aplicada sobre o valor da Receita Requerida, referente ao Exercício de 2023, apenas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Manejo de Resíduos Sólidos.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Em municípios com contratos de concessão ou de parceria público-privada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Limpeza Urbana e Manejo de Resíduos Sólidos, para fins de cálculos da Taxa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 (RSU), serão utilizadas a base de cálculo e a alíquota definidas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respectivos contratos.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Nos termos da Resolução ANA nº 79, de 14 de junho de 2021, Receita Requerida é aquela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suficiente para ressarcir o prestador de serviço das despesas administrativas e dos custos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eficientes de operação e manutenção, de investimentos prudentes e necessários bem como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remunerar de forma adequada o capital investido, quando couber.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Para apuração da Receita Requerida considerar-se-á os custos e despesas apenas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Manejo de Resíduos Sólidos, nos termos do Art. 3º, inciso I, alínea c,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constituídos pelas atividades, disponibilização e manutenção de infraestruturas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operacionais de coleta, transporte, transbordo, tratamento e destinação final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ambientalmente adequada dos resíduos sólidos domiciliares.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8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588 – 18/11/2024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352" w:right="1058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39340" cy="53974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8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Os custos e despesas dos serviços de Manejo de Resíduos Sólidos correspondem aos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totais liquidados com essas atividades no Exercício de 2023, incluindo os Restos a Pagar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processados liquidados.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A metodologia de cálculo do valor da Taxa de Regulação e Fiscalização (RSU) dar-se-á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função da natureza da prestação dos serviços de Manejo de Resíduos Sólidos, dividida em: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Prestação Direta (Prefeitura, Autarquia, Empresa Pública e de Economia Mista); e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II - Contrato de Concessão ou de Parceria Público-Privada.</w:t>
      </w:r>
    </w:p>
    <w:p>
      <w:pPr>
        <w:autoSpaceDN w:val="0"/>
        <w:autoSpaceDE w:val="0"/>
        <w:widowControl/>
        <w:spacing w:line="245" w:lineRule="auto" w:before="344" w:after="0"/>
        <w:ind w:left="1584" w:right="158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Prestação Direta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(Prefeitura, Autarquia, Empresa Pública e de Economia Mista) </w:t>
      </w:r>
    </w:p>
    <w:p>
      <w:pPr>
        <w:autoSpaceDN w:val="0"/>
        <w:autoSpaceDE w:val="0"/>
        <w:widowControl/>
        <w:spacing w:line="245" w:lineRule="auto" w:before="346" w:after="298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município, cujos serviços de Manejo de Resíduos Sólidos sejam executados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Prestação Direta, o cálculo da Taxa de Regulação e Fiscalização (RSU) – Exercício 2025 terá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base o total da Receita Requerida do Exercício de 2023, referente à prestação desses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à qual será aplicada a alíquota de 0,25% (vinte e cinco centésimos por cento), e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calculada pela seguinte expressão matemática: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9432"/>
      </w:tblGrid>
      <w:tr>
        <w:trPr>
          <w:trHeight w:hRule="exact" w:val="464"/>
        </w:trPr>
        <w:tc>
          <w:tcPr>
            <w:tcW w:type="dxa" w:w="2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TR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RSU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= RR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2023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x Alíquota</w:t>
            </w:r>
          </w:p>
        </w:tc>
      </w:tr>
    </w:tbl>
    <w:p>
      <w:pPr>
        <w:autoSpaceDN w:val="0"/>
        <w:autoSpaceDE w:val="0"/>
        <w:widowControl/>
        <w:spacing w:line="245" w:lineRule="auto" w:before="342" w:after="0"/>
        <w:ind w:left="0" w:right="38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TR</w:t>
      </w:r>
      <w:r>
        <w:rPr>
          <w:rFonts w:ascii="Calibri" w:hAnsi="Calibri" w:eastAsia="Calibri"/>
          <w:b w:val="0"/>
          <w:i w:val="0"/>
          <w:color w:val="000000"/>
          <w:sz w:val="16"/>
        </w:rPr>
        <w:t>RSU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= Taxa de Regulação de Resíduos Sólidos Urbanos </w:t>
      </w:r>
      <w:r>
        <w:rPr>
          <w:rFonts w:ascii="Calibri" w:hAnsi="Calibri" w:eastAsia="Calibri"/>
          <w:b w:val="0"/>
          <w:i w:val="0"/>
          <w:color w:val="000000"/>
          <w:sz w:val="24"/>
        </w:rPr>
        <w:t>RR</w:t>
      </w:r>
      <w:r>
        <w:rPr>
          <w:rFonts w:ascii="Calibri" w:hAnsi="Calibri" w:eastAsia="Calibri"/>
          <w:b w:val="0"/>
          <w:i w:val="0"/>
          <w:color w:val="000000"/>
          <w:sz w:val="16"/>
        </w:rPr>
        <w:t>2023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= Receita Requerida do Exercício de 2023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Alíquota = 0,25% </w:t>
      </w:r>
      <w:r>
        <w:rPr>
          <w:rFonts w:ascii="Wingdings" w:hAnsi="Wingdings" w:eastAsia="Wingdings"/>
          <w:b w:val="0"/>
          <w:i w:val="0"/>
          <w:color w:val="000000"/>
          <w:sz w:val="24"/>
        </w:rPr>
        <w:t>→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igual a 0,0025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repasses referentes à Taxa de Regulação e Fiscalização (RSU) - Exercício 2025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efetuados através de depósitos bancários realizados pelos prestadores dos serviços de Manejo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Resíduos Sólidos em favor da ARES-PCJ, ou através de boletos bancários, a critério da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Colegiada.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O valor total apurado da Taxa de Regulação e Fiscalização (RSU) - Exercício 2025, a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pago pelo município à Agência Reguladora ARES-PCJ, será dividido em 10 (dez) parcelas iguais,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vencimento todo dia 15 (quinze) de cada mês, entre os meses de fevereiro e novembro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2025.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Caso as datas dos vencimentos coincidam com sábado, domingo ou feriado,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esse vencimento ficará prorrogado automaticamente para o primeiro dia útil subsequente.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79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588 – 18/11/2024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350" w:right="1056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39340" cy="53974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82" w:after="0"/>
        <w:ind w:left="1872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Contrato de Concessão ou de Parceria Público-Privada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Para município cujos serviços de Manejo de Resíduos Sólidos sejam executados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Contratos de Concessão ou de Parceria Público-Privada, o valor da Taxa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- 2025 será calculado conforme definições nas cláusulas contratuais, assim como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de repasse dos respectivos valores à Agência Reguladora ARES-PCJ. </w:t>
      </w:r>
    </w:p>
    <w:p>
      <w:pPr>
        <w:autoSpaceDN w:val="0"/>
        <w:autoSpaceDE w:val="0"/>
        <w:widowControl/>
        <w:spacing w:line="245" w:lineRule="auto" w:before="346" w:after="0"/>
        <w:ind w:left="3744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Disposições Gerais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9º - Para fins de comprovação do valor correspondente à Taxa de Regulação e Fiscalização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Exercício 2025, os municípios com prestação direta (prefeitura, autarquia, empresa pública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 mista) deverão encaminhar à ARES-PCJ, até o dia 31 de janeiro de 2025, seus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demonstrativos contábeis da Receita Requerida para os serviços de Manejo de Resíduos Sólidos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referentes ao Exercício 2023, devidamente validados.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 - As empresas privadas que, através de contratos de concessão ou de parceria público-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privada, prestam serviços Manejo de Resíduos Sólidos deverão encaminhar à ARES-PCJ, até o 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31 de janeiro de 2025, seus balancetes, balanços e demonstrativos contábeis e financeiros,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devidamente validados e publicados.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No ato de encaminhamento de documentos econômicos e contábeis para a apuração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Receita Requerida, referentes aos serviços de Manejo de Resíduos Sólidos, os municípios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anexar relatório de adequação ou correspondência à classificação padrão das despesas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esses serviços proposta pela ARES-PCJ como instrumento de orientação e constante do Anexo 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10 - Os casos omissos quanto à aplicação desta Resolução serão apreciados e resolvidos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âmbito da Diretoria Colegiada da ARES-PCJ.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11 - Esta Resolução entrará em vigor na data da sua publicação.</w:t>
      </w:r>
    </w:p>
    <w:p>
      <w:pPr>
        <w:autoSpaceDN w:val="0"/>
        <w:autoSpaceDE w:val="0"/>
        <w:widowControl/>
        <w:spacing w:line="245" w:lineRule="auto" w:before="1226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255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588 – 18/11/2024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352" w:right="1056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1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39340" cy="53974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588, DE 18 DE NOVEMBRO DE 2024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245" w:lineRule="auto" w:before="344" w:after="0"/>
        <w:ind w:left="1872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ORIENTAÇÃO PARA CLASSIFICAÇÃO ORÇAMENTÁRIA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DESPESAS COM MANEJO DE RESÍDUOS SÓLIDOS </w:t>
      </w:r>
    </w:p>
    <w:p>
      <w:pPr>
        <w:autoSpaceDN w:val="0"/>
        <w:autoSpaceDE w:val="0"/>
        <w:widowControl/>
        <w:spacing w:line="245" w:lineRule="auto" w:before="346" w:after="0"/>
        <w:ind w:left="146" w:right="11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sistemas de classificação, abaixo, representam uma proposta mais adequada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classificação orçamentária e contábil das despesas públicas com serviços de Manejo de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Sólidos, nos termos da Lei federal nº 11.445/2007. </w:t>
      </w:r>
    </w:p>
    <w:p>
      <w:pPr>
        <w:autoSpaceDN w:val="0"/>
        <w:autoSpaceDE w:val="0"/>
        <w:widowControl/>
        <w:spacing w:line="245" w:lineRule="auto" w:before="344" w:after="0"/>
        <w:ind w:left="14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Agência Reguladora ARES-PCJ orienta os prestadores públicos desses serviços que realizem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progressivamente a transição para esse modelo de classificação. </w:t>
      </w:r>
    </w:p>
    <w:p>
      <w:pPr>
        <w:autoSpaceDN w:val="0"/>
        <w:autoSpaceDE w:val="0"/>
        <w:widowControl/>
        <w:spacing w:line="245" w:lineRule="auto" w:before="346" w:after="0"/>
        <w:ind w:left="146" w:right="11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ato de encaminhamento dos demonstrativos contábeis da apuração da Receita Requerida,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prestadores dos serviços públicos de Manejo de Resíduos Sólidos deverão anexar relatório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adequação ou correspondência à classificação padrão das despesas. </w:t>
      </w:r>
    </w:p>
    <w:p>
      <w:pPr>
        <w:autoSpaceDN w:val="0"/>
        <w:autoSpaceDE w:val="0"/>
        <w:widowControl/>
        <w:spacing w:line="245" w:lineRule="auto" w:before="344" w:after="0"/>
        <w:ind w:left="146" w:right="1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prestador de serviços declarar-se-á “adequado” caso sua classificação reproduza o padrão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orientado. Do contrário, deverá indicar a correspondência entre suas classificações e aquelas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propostas pela Agência Reguladora ARES-PCJ. </w:t>
      </w:r>
    </w:p>
    <w:p>
      <w:pPr>
        <w:autoSpaceDN w:val="0"/>
        <w:autoSpaceDE w:val="0"/>
        <w:widowControl/>
        <w:spacing w:line="197" w:lineRule="auto" w:before="640" w:after="29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Classificação – Despesas com Serviços de Manejo de Resíduos Sólidos Urbanos (RSU)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1612"/>
        <w:gridCol w:w="1612"/>
        <w:gridCol w:w="1612"/>
        <w:gridCol w:w="1612"/>
        <w:gridCol w:w="1612"/>
        <w:gridCol w:w="1612"/>
      </w:tblGrid>
      <w:tr>
        <w:trPr>
          <w:trHeight w:hRule="exact" w:val="600"/>
        </w:trPr>
        <w:tc>
          <w:tcPr>
            <w:tcW w:type="dxa" w:w="142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FUNÇÃO </w:t>
            </w:r>
          </w:p>
        </w:tc>
        <w:tc>
          <w:tcPr>
            <w:tcW w:type="dxa" w:w="822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Saneamento </w:t>
            </w:r>
          </w:p>
        </w:tc>
      </w:tr>
      <w:tr>
        <w:trPr>
          <w:trHeight w:hRule="exact" w:val="598"/>
        </w:trPr>
        <w:tc>
          <w:tcPr>
            <w:tcW w:type="dxa" w:w="142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2d05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SUBFUNÇÃO </w:t>
            </w:r>
          </w:p>
        </w:tc>
        <w:tc>
          <w:tcPr>
            <w:tcW w:type="dxa" w:w="822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2d05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Saneamento Básico Urbano </w:t>
            </w:r>
          </w:p>
        </w:tc>
      </w:tr>
      <w:tr>
        <w:trPr>
          <w:trHeight w:hRule="exact" w:val="600"/>
        </w:trPr>
        <w:tc>
          <w:tcPr>
            <w:tcW w:type="dxa" w:w="142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PROGRAMA </w:t>
            </w:r>
          </w:p>
        </w:tc>
        <w:tc>
          <w:tcPr>
            <w:tcW w:type="dxa" w:w="822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c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Manejo de Resíduos Sólidos </w:t>
            </w:r>
          </w:p>
        </w:tc>
      </w:tr>
      <w:tr>
        <w:trPr>
          <w:trHeight w:hRule="exact" w:val="1220"/>
        </w:trPr>
        <w:tc>
          <w:tcPr>
            <w:tcW w:type="dxa" w:w="142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e69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AÇÕES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e69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Transporte,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Transbordo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Destinação RSU </w:t>
            </w:r>
          </w:p>
        </w:tc>
        <w:tc>
          <w:tcPr>
            <w:tcW w:type="dxa" w:w="164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e69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2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Seletiva </w:t>
            </w:r>
          </w:p>
        </w:tc>
        <w:tc>
          <w:tcPr>
            <w:tcW w:type="dxa" w:w="164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e69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Operação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Contratação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de Aterro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Sanitário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Resíduos dos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Serviços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Saúde 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Resíduos da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Construção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Civil </w:t>
            </w:r>
          </w:p>
        </w:tc>
      </w:tr>
      <w:tr>
        <w:trPr>
          <w:trHeight w:hRule="exact" w:val="498"/>
        </w:trPr>
        <w:tc>
          <w:tcPr>
            <w:tcW w:type="dxa" w:w="1420"/>
            <w:vMerge w:val="restart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4c5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ELEMENTOS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 DESPESA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(mínimo)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Pessoal </w:t>
            </w:r>
          </w:p>
        </w:tc>
        <w:tc>
          <w:tcPr>
            <w:tcW w:type="dxa" w:w="164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Pessoal </w:t>
            </w:r>
          </w:p>
        </w:tc>
        <w:tc>
          <w:tcPr>
            <w:tcW w:type="dxa" w:w="164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Pessoal </w:t>
            </w:r>
          </w:p>
        </w:tc>
        <w:tc>
          <w:tcPr>
            <w:tcW w:type="dxa" w:w="164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5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Não compõe o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escopo da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Regulação </w:t>
            </w:r>
          </w:p>
        </w:tc>
        <w:tc>
          <w:tcPr>
            <w:tcW w:type="dxa" w:w="164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5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Não compõe o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escopo da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Regulação </w:t>
            </w:r>
          </w:p>
        </w:tc>
      </w:tr>
      <w:tr>
        <w:trPr>
          <w:trHeight w:hRule="exact" w:val="498"/>
        </w:trPr>
        <w:tc>
          <w:tcPr>
            <w:tcW w:type="dxa" w:w="1612"/>
            <w:vMerge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64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Materiais </w:t>
            </w:r>
          </w:p>
        </w:tc>
        <w:tc>
          <w:tcPr>
            <w:tcW w:type="dxa" w:w="164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Materiais </w:t>
            </w:r>
          </w:p>
        </w:tc>
        <w:tc>
          <w:tcPr>
            <w:tcW w:type="dxa" w:w="164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Materiais </w:t>
            </w:r>
          </w:p>
        </w:tc>
        <w:tc>
          <w:tcPr>
            <w:tcW w:type="dxa" w:w="161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61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546"/>
        </w:trPr>
        <w:tc>
          <w:tcPr>
            <w:tcW w:type="dxa" w:w="1612"/>
            <w:vMerge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Terceiros </w:t>
            </w:r>
          </w:p>
        </w:tc>
        <w:tc>
          <w:tcPr>
            <w:tcW w:type="dxa" w:w="164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Terceiros </w:t>
            </w:r>
          </w:p>
        </w:tc>
        <w:tc>
          <w:tcPr>
            <w:tcW w:type="dxa" w:w="164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Terceiros </w:t>
            </w:r>
          </w:p>
        </w:tc>
        <w:tc>
          <w:tcPr>
            <w:tcW w:type="dxa" w:w="161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61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498"/>
        </w:trPr>
        <w:tc>
          <w:tcPr>
            <w:tcW w:type="dxa" w:w="1612"/>
            <w:vMerge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64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Investimentos </w:t>
            </w:r>
          </w:p>
        </w:tc>
        <w:tc>
          <w:tcPr>
            <w:tcW w:type="dxa" w:w="164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Investimentos </w:t>
            </w:r>
          </w:p>
        </w:tc>
        <w:tc>
          <w:tcPr>
            <w:tcW w:type="dxa" w:w="164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Investimentos </w:t>
            </w:r>
          </w:p>
        </w:tc>
        <w:tc>
          <w:tcPr>
            <w:tcW w:type="dxa" w:w="161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61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</w:tbl>
    <w:p>
      <w:pPr>
        <w:autoSpaceDN w:val="0"/>
        <w:tabs>
          <w:tab w:pos="9220" w:val="left"/>
        </w:tabs>
        <w:autoSpaceDE w:val="0"/>
        <w:widowControl/>
        <w:spacing w:line="194" w:lineRule="auto" w:before="1250" w:after="0"/>
        <w:ind w:left="14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588 – 18/11/2024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sectPr w:rsidR="00FC693F" w:rsidRPr="0006063C" w:rsidSect="00034616">
      <w:pgSz w:w="11906" w:h="16838"/>
      <w:pgMar w:top="350" w:right="964" w:bottom="484" w:left="127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