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-127000</wp:posOffset>
            </wp:positionH>
            <wp:positionV relativeFrom="page">
              <wp:posOffset>9799320</wp:posOffset>
            </wp:positionV>
            <wp:extent cx="7739380" cy="91911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191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23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2660650</wp:posOffset>
            </wp:positionH>
            <wp:positionV relativeFrom="page">
              <wp:posOffset>203200</wp:posOffset>
            </wp:positionV>
            <wp:extent cx="259080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6" w:after="0"/>
        <w:ind w:left="17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620, DE 07 DE ABRIL DE 2025 </w:t>
      </w:r>
    </w:p>
    <w:p>
      <w:pPr>
        <w:autoSpaceDN w:val="0"/>
        <w:autoSpaceDE w:val="0"/>
        <w:widowControl/>
        <w:spacing w:line="245" w:lineRule="auto" w:before="646" w:after="0"/>
        <w:ind w:left="4536" w:right="78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regras de publicidade e participação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 serem observadas nos procedimentos arbitrais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envolvendo contratos de concessão e parcerias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público-privadas (PPPs) regulados pela ARES-PCJ. </w:t>
      </w:r>
    </w:p>
    <w:p>
      <w:pPr>
        <w:autoSpaceDN w:val="0"/>
        <w:autoSpaceDE w:val="0"/>
        <w:widowControl/>
        <w:spacing w:line="245" w:lineRule="auto" w:before="634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1"/>
        <w:gridCol w:w="2551"/>
        <w:gridCol w:w="2551"/>
        <w:gridCol w:w="2551"/>
      </w:tblGrid>
      <w:tr>
        <w:trPr>
          <w:trHeight w:hRule="exact" w:val="284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https://stip-arespcj.1doc.com.br/verificacao/727C-CB24-B7AC-66A7 e informe o código 727C-CB24-B7AC-66A7</w:t>
            </w:r>
          </w:p>
        </w:tc>
      </w:tr>
      <w:tr>
        <w:trPr>
          <w:trHeight w:hRule="exact" w:val="58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11.445, de 05 de janeiro de 2007, alterada pela Lei federal nº 14.026, de 15 de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julho de 2020, estabelece diretrizes nacionais para o saneamento básico, e o Decreto federal nº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7.217/2010 a regulamenta;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11.445/2007, nos termos do Art. 23, incisos I, IV e X, confere à entidade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reguladora competência para editar normas regulatórias de natureza técnica, econômica e social;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11.445/2007, nos termos do Art. 10-A, §1º, estabelece que os contratos que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envolvem a prestação dos serviços públicos de saneamento básico poderão prever mecanismos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privados para resolução de disputas decorrentes do contrato ou a ele relacionadas, inclusive a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arbitragem;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os contratos de concessão e parcerias público-privadas (PPPs) regulados pela ARES-PCJ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possuem cláusulas com previsão de soluções de controvérsias por meio de arbitragem, mas estão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ocorrendo sem a participação da Agência;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as decisões proferidas nessas arbitragens podem impactar diretamente a regulação e a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supervisão dos serviços de saneamento, áreas em que a atuação da ARES-PCJ é fundamental para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garantir a eficiência, qualidade e conformidade com as normas vigentes, sob pena das suas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prerrogativas regulatórias serem comprometidas por decisões arbitrais que eventualmente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desconsiderem sua função técnica e normativa;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Parágrafo Único do Art. 5º da Lei federal nº 9.469/1997 estabelece que as pessoas jurídicas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direito público poderão, nas causas cuja decisão possa ter reflexos, ainda que indiretos, de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natureza econômica, intervir, independentemente da demonstração de interesse jurídico, para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esclarecer questões de fato e de direito, podendo juntar documentos e memoriais reputados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úteis ao exame da matéria e, se for o caso, recorrer, hipótese em que, para fins de deslocamento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competência, serão consideradas partes;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98"/>
        </w:trPr>
        <w:tc>
          <w:tcPr>
            <w:tcW w:type="dxa" w:w="6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4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620 – 07/04/2025 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3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1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160" w:right="404" w:bottom="482" w:left="13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-127000</wp:posOffset>
            </wp:positionH>
            <wp:positionV relativeFrom="page">
              <wp:posOffset>9799320</wp:posOffset>
            </wp:positionV>
            <wp:extent cx="7739380" cy="91911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191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23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2660650</wp:posOffset>
            </wp:positionH>
            <wp:positionV relativeFrom="page">
              <wp:posOffset>203200</wp:posOffset>
            </wp:positionV>
            <wp:extent cx="259080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22" w:after="0"/>
        <w:ind w:left="0" w:right="7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âmbito federal a Lei nº 9.469/97 c/c o Decreto nº 10.025/2019 e a Portaria Conjunta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PGU-CGU/AGU nº 7, de 24 de setembro de 2021, regularam que as pessoas jurídicas de direito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poderão intervir nas arbitragens cuja decisão possa ter reflexos, ainda que indiretos,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natureza econômica, independentemente da demonstração de interesse jurídico, para esclarecer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questões de fato e de direito; </w:t>
      </w:r>
    </w:p>
    <w:p>
      <w:pPr>
        <w:autoSpaceDN w:val="0"/>
        <w:autoSpaceDE w:val="0"/>
        <w:widowControl/>
        <w:spacing w:line="245" w:lineRule="auto" w:before="344" w:after="0"/>
        <w:ind w:left="0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na condição de pessoa jurídica de direito público, o conteúdo do Parágrafo único do Art.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nº 9.469/1997 se aplica à ARES-PCJ; </w:t>
      </w:r>
    </w:p>
    <w:p>
      <w:pPr>
        <w:autoSpaceDN w:val="0"/>
        <w:autoSpaceDE w:val="0"/>
        <w:widowControl/>
        <w:spacing w:line="245" w:lineRule="auto" w:before="344" w:after="202"/>
        <w:ind w:left="0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§ 3º do Art. 2º da Lei federal nº 9.307/1996 estabelece que a arbitragem que envolva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administração pública será sempre de direito e respeitará o princípio da publicidade;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1"/>
        <w:gridCol w:w="2551"/>
        <w:gridCol w:w="2551"/>
        <w:gridCol w:w="2551"/>
      </w:tblGrid>
      <w:tr>
        <w:trPr>
          <w:trHeight w:hRule="exact" w:val="398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ARES-PCJ submeteu o tema da participação da Agência Reguladora nos procedimentos 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https://stip-arespcj.1doc.com.br/verificacao/727C-CB24-B7AC-66A7 e informe o código 727C-CB24-B7AC-66A7</w:t>
            </w:r>
          </w:p>
        </w:tc>
      </w:tr>
      <w:tr>
        <w:trPr>
          <w:trHeight w:hRule="exact" w:val="30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arbitrais envolvendo contratos regulados ao processo de Controle Social, por meio da Consulta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Pública nº 01/2025 e Audiência Pública nº 01/2025; e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das etapas do processo de normatização, a Diretoria Colegiada da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ARES-PCJ, reunida em 04 de abril de 2025;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RESOLVE: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Editar normativa para estabelecer regras de publicidade e participação a serem observadas nos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procedimentos arbitrais envolvendo contratos de concessão regulados pela ARES-PCJ.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DISPOSIÇÕES GERAIS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1º. A presente Resolução estabelece regras de publicidade a serem observadas pelos entes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regulados pela ARES-PCJ nos procedimentos arbitrais que envolvam conflitos originados nos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contratos de concessão de serviços públicos de abastecimento de água e esgotamento sanitário,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se encontram sob a regulação da ARES-PCJ.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§1º. Consideram-se regulados pela ARES-PCJ os contratos de concessão que, mesmo sem a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31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participação direta da ARES-PCJ em um dos polos contratuais – mas nos quais a agência figure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31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como anuente e/ou interveniente – tenham por objeto a concessão para a prestação dos serviços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municipais de abastecimento de água e/ou esgotamento sanitário em municípios cujo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setor está sob a regulação da ARES-PCJ.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§2º. A participação da ARES-PCJ nos procedimentos arbitrais, a partir da publicidade a que se refere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caput, visa assegurar o cumprimento da regulação setorial e a defesa dos interesses públicos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envolvidos nos contratos de concessão regulados, com foco na manutenção da qualidade,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9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eficiência e continuidade dos serviços.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698"/>
        </w:trPr>
        <w:tc>
          <w:tcPr>
            <w:tcW w:type="dxa" w:w="6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04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620 – 07/04/2025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2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160" w:right="404" w:bottom="482" w:left="13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-127000</wp:posOffset>
            </wp:positionH>
            <wp:positionV relativeFrom="page">
              <wp:posOffset>9799320</wp:posOffset>
            </wp:positionV>
            <wp:extent cx="7739380" cy="91911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191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23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2660650</wp:posOffset>
            </wp:positionH>
            <wp:positionV relativeFrom="page">
              <wp:posOffset>203200</wp:posOffset>
            </wp:positionV>
            <wp:extent cx="259080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22" w:after="0"/>
        <w:ind w:left="1152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PUBLICIDADE A SER OBSERVADA PELOS ENTES REGULADOS PELA ARES-PCJ </w:t>
      </w:r>
    </w:p>
    <w:p>
      <w:pPr>
        <w:autoSpaceDN w:val="0"/>
        <w:autoSpaceDE w:val="0"/>
        <w:widowControl/>
        <w:spacing w:line="245" w:lineRule="auto" w:before="346" w:after="0"/>
        <w:ind w:left="0" w:right="7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Em respeito ao § 3º do art. 2º da Lei federal nº 9.307/1996, nos procedimentos arbitrais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envolvendo conflitos originados de contratos de concessão regulados pela ARES-PCJ, os 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regulados devem disponibilizar à Agência Reguladora as seguintes informações e documentos: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o requerimento de instauração da arbitragem; </w:t>
      </w:r>
    </w:p>
    <w:p>
      <w:pPr>
        <w:autoSpaceDN w:val="0"/>
        <w:autoSpaceDE w:val="0"/>
        <w:widowControl/>
        <w:spacing w:line="245" w:lineRule="auto" w:before="344" w:after="202"/>
        <w:ind w:left="0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 resposta ao requerimento, as defesas, a réplica, a tréplica e outras manifestações das partes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o mérito;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1"/>
        <w:gridCol w:w="2551"/>
        <w:gridCol w:w="2551"/>
        <w:gridCol w:w="2551"/>
      </w:tblGrid>
      <w:tr>
        <w:trPr>
          <w:trHeight w:hRule="exact" w:val="558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- as provas produzidas; e 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https://stip-arespcj.1doc.com.br/verificacao/727C-CB24-B7AC-66A7 e informe o código 727C-CB24-B7AC-66A7</w:t>
            </w:r>
          </w:p>
        </w:tc>
      </w:tr>
      <w:tr>
        <w:trPr>
          <w:trHeight w:hRule="exact" w:val="58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- as decisões do tribunal arbitral.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Cabe ao ente regulado, ao firmar cláusula compromissória ou compromisso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arbitral, estabelecer o dever de publicidade a que se refere o caput.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3º. O ente regulado pela ARES-PCJ deverá manter a Agência Reguladora atualizada de todas as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etapas tramitadas no procedimento arbitral.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III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PARTICIPAÇÃO DA ARES-PCJ NOS PROCEDIMENTOS ARBITRAIS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4º. A Agência Reguladora ARES-PCJ poderá acompanhar e participar dos processos arbitrais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relacionados a conflitos originados dos contratos de concessão que regula, ainda que não esteja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inserida na convenção de arbitragem, com o objetivo de assegurar a observância das competências,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normas e decisões regulatórias aplicáveis ao setor.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Art.5º. Com vistas ao cumprimento do Art. 4º, o ente regulado pela ARES-PCJ deverá requerer o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ingresso da Agência Reguladora no procedimento arbitral, através de petição ao Tribunal Arbitral.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 A Agência Reguladora ARES-PCJ poderá, a seu critério, delimitar o escopo e a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de sua participação no procedimento arbitral.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6º.  A participação da Agência Reguladora ARES-PCJ poderá envolver: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- Apresentação, nos autos do processo arbitral, de questões de fato ou de direito que identificar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como úteis ao exame da matéria, inclusive pareceres técnicos, com informações que contribuam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a adequada compreensão dos impactos regulatórios, operacionais e econômico-financeiros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litígio;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- Proposição de soluções ou interpretações que preservem o interesse público e a segurança jurídica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contratos regulados pela ARES-PCJ;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538"/>
        </w:trPr>
        <w:tc>
          <w:tcPr>
            <w:tcW w:type="dxa" w:w="6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44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620 – 07/04/2025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4" w:after="0"/>
              <w:ind w:left="0" w:right="4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3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160" w:right="404" w:bottom="482" w:left="13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-127000</wp:posOffset>
            </wp:positionH>
            <wp:positionV relativeFrom="page">
              <wp:posOffset>9799320</wp:posOffset>
            </wp:positionV>
            <wp:extent cx="7739380" cy="91911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191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23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2660650</wp:posOffset>
            </wp:positionH>
            <wp:positionV relativeFrom="page">
              <wp:posOffset>203200</wp:posOffset>
            </wp:positionV>
            <wp:extent cx="259080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22" w:after="0"/>
        <w:ind w:left="0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Requerimento, quando necessário, de produção de provas que julgar necessárias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esclarecer os impactos regulatórios do litígio; </w:t>
      </w:r>
    </w:p>
    <w:p>
      <w:pPr>
        <w:autoSpaceDN w:val="0"/>
        <w:autoSpaceDE w:val="0"/>
        <w:widowControl/>
        <w:spacing w:line="245" w:lineRule="auto" w:before="346" w:after="0"/>
        <w:ind w:left="0" w:right="5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Participação nas audiências arbitrais para esclarecer questões relacionadas ao regime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regulatório, normas técnicas e práticas adotadas no âmbito das concessões monitoradas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ARES-PCJ. </w:t>
      </w:r>
    </w:p>
    <w:p>
      <w:pPr>
        <w:autoSpaceDN w:val="0"/>
        <w:autoSpaceDE w:val="0"/>
        <w:widowControl/>
        <w:spacing w:line="245" w:lineRule="auto" w:before="638" w:after="284"/>
        <w:ind w:left="2016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ASPECTOS RELACIONADOS À SENTENÇA ARBITRAL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1"/>
        <w:gridCol w:w="2551"/>
        <w:gridCol w:w="2551"/>
        <w:gridCol w:w="2551"/>
      </w:tblGrid>
      <w:tr>
        <w:trPr>
          <w:trHeight w:hRule="exact" w:val="328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7º. A sentença arbitral deverá ser comunicada pelo ente regulado à ARES-PCJ tão logo seja 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https://stip-arespcj.1doc.com.br/verificacao/727C-CB24-B7AC-66A7 e informe o código 727C-CB24-B7AC-66A7</w:t>
            </w:r>
          </w:p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proferida, para que a agência possa adotar as medidas cabíveis no âmbito de sua competência.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8º. A sentença arbitral proferida não poderá versar sobre conflitos que envolvam matérias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indisponíveis ou de competência decisória exclusiva da Agência Reguladora ARES-PCJ, nos termos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Lei federal nº 9.307/1996.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9º. A Agência Reguladora ARES-PCJ, na condição de pessoa jurídica de direito público,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poderá, nas causas cuja decisão possa ter reflexos, ainda que indiretos, de natureza econômica,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intervir, independentemente da demonstração de interesse jurídico, para esclarecer questões de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fato e de direito, podendo juntar documentos e memoriais reputados úteis ao exame da matéria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e, se for o caso, recorrer, hipótese em que, para fins de deslocamento de competência, será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considerada parte, nos termos do Parágrafo único do Art. 5º da Lei federal nº 9.469/1997.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ARES-PCJ, na condição de pessoa jurídica de direito público, poderá interpor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ação anulatória de sentença arbitral, nos termos do Art. 33 da Lei federal nº 9.307/1996.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V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DISPOSIÇÕES FINAIS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10. As partes envolvidas no procedimento arbitral devem cooperar com a Agência Reguladora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ARES-PCJ, fornecendo as informações e documentos necessários para a análise dos impactos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regulatórios do litígio.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11. A Agência Reguladora ARES-PCJ deverá manter sigilo sobre as informações confidenciais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recebidas no âmbito do procedimento arbitral.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12. A Agência Reguladora ARES-PCJ deverá elaborar normativa interna com o objetivo de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regulamentar, estruturar e definir os profissionais da agência que atuarão nas arbitragens.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13. É recomendado o aditamento consensual de todos os contratos de concessão e PPPs em que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ARES-PCJ figure como anuente e/ou interveniente, fazendo constar cláusula que obrigue as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partes contratantes a notificar esta Agência Reguladora quando da instauração de procedimento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arbitral para a solução de litígio decorrente deste contrato.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  <w:tr>
        <w:trPr>
          <w:trHeight w:hRule="exact" w:val="538"/>
        </w:trPr>
        <w:tc>
          <w:tcPr>
            <w:tcW w:type="dxa" w:w="6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44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620 – 07/04/2025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4" w:after="0"/>
              <w:ind w:left="0" w:right="4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4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160" w:right="404" w:bottom="482" w:left="13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-127000</wp:posOffset>
            </wp:positionH>
            <wp:positionV relativeFrom="page">
              <wp:posOffset>9799320</wp:posOffset>
            </wp:positionV>
            <wp:extent cx="7739380" cy="91911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191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23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2660650</wp:posOffset>
            </wp:positionH>
            <wp:positionV relativeFrom="page">
              <wp:posOffset>203200</wp:posOffset>
            </wp:positionV>
            <wp:extent cx="259080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22" w:after="0"/>
        <w:ind w:left="0" w:right="7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As disposições desta Resolução complementam as normas previstas na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9.307, de 23 de setembro de 1996, e nas disposições contratuais pertinentes aos contratos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regulados pela Agência Reguladora ARES-PCJ. </w:t>
      </w:r>
    </w:p>
    <w:p>
      <w:pPr>
        <w:autoSpaceDN w:val="0"/>
        <w:autoSpaceDE w:val="0"/>
        <w:widowControl/>
        <w:spacing w:line="245" w:lineRule="auto" w:before="344" w:after="0"/>
        <w:ind w:left="0" w:right="7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Esta Resolução entra em vigor na data de sua publicação, aplicando-se aos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processos arbitrais que envolvam contratos de concessão sob a regulação da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ARES-PCJ. </w:t>
      </w:r>
    </w:p>
    <w:p>
      <w:pPr>
        <w:autoSpaceDN w:val="0"/>
        <w:autoSpaceDE w:val="0"/>
        <w:widowControl/>
        <w:spacing w:line="197" w:lineRule="auto" w:before="932" w:after="26"/>
        <w:ind w:left="0" w:right="417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.000000000000114" w:type="dxa"/>
      </w:tblPr>
      <w:tblGrid>
        <w:gridCol w:w="2551"/>
        <w:gridCol w:w="2551"/>
        <w:gridCol w:w="2551"/>
        <w:gridCol w:w="2551"/>
      </w:tblGrid>
      <w:tr>
        <w:trPr>
          <w:trHeight w:hRule="exact" w:val="5454"/>
        </w:trPr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1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71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5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3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https://stip-arespcj.1doc.com.br/verificacao/727C-CB24-B7AC-66A7 e informe o código 727C-CB24-B7AC-66A7</w:t>
            </w:r>
          </w:p>
        </w:tc>
      </w:tr>
      <w:tr>
        <w:trPr>
          <w:trHeight w:hRule="exact" w:val="5518"/>
        </w:trPr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24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620 – 07/04/2025 </w:t>
            </w:r>
          </w:p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  <w:tc>
          <w:tcPr>
            <w:tcW w:type="dxa" w:w="255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160" w:right="404" w:bottom="482" w:left="13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2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727C-CB24-B7AC-66A7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07/04/2025 16:55:28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39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https://stip-arespcj.1doc.com.br/verificacao/727C-CB24-B7AC-66A7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727C-CB24-B7AC-66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