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9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9790430</wp:posOffset>
            </wp:positionV>
            <wp:extent cx="7555230" cy="901548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5230" cy="90154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3574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2519680</wp:posOffset>
            </wp:positionH>
            <wp:positionV relativeFrom="page">
              <wp:posOffset>393700</wp:posOffset>
            </wp:positionV>
            <wp:extent cx="2518410" cy="539750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18410" cy="5397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82" w:lineRule="exact" w:before="308" w:after="0"/>
        <w:ind w:left="1386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RESOLUÇÃO ARES-PCJ Nº 651, DE 20 DE AGOSTO DE 2025 </w:t>
      </w:r>
    </w:p>
    <w:p>
      <w:pPr>
        <w:autoSpaceDN w:val="0"/>
        <w:autoSpaceDE w:val="0"/>
        <w:widowControl/>
        <w:spacing w:line="292" w:lineRule="exact" w:before="278" w:after="0"/>
        <w:ind w:left="4400" w:right="812" w:firstLine="0"/>
        <w:jc w:val="both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Regulamenta a aplicação da matriz de riscos nos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contratos de concessão e PPP de serviços públicos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de saneamento básico, conforme a Norma de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Referência </w:t>
      </w:r>
      <w:r>
        <w:rPr>
          <w:rFonts w:ascii="Calibri" w:hAnsi="Calibri" w:eastAsia="Calibri"/>
          <w:b w:val="0"/>
          <w:i w:val="0"/>
          <w:color w:val="000000"/>
          <w:sz w:val="24"/>
        </w:rPr>
        <w:t>nº 5/2024 da ANA, no âmbito d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os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municípios vinculados à regulação e fiscalização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da ARES-PCJ e dá outras providências. </w:t>
      </w:r>
    </w:p>
    <w:p>
      <w:pPr>
        <w:autoSpaceDN w:val="0"/>
        <w:autoSpaceDE w:val="0"/>
        <w:widowControl/>
        <w:spacing w:line="292" w:lineRule="exact" w:before="264" w:after="26"/>
        <w:ind w:left="144" w:right="720" w:firstLine="0"/>
        <w:jc w:val="center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DIRETORIA COLEGIADA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AGÊNCIA REGULADORA DOS SERVIÇOS DE SANEAMENTO DAS </w:t>
      </w:r>
      <w:r>
        <w:rPr>
          <w:rFonts w:ascii="Calibri" w:hAnsi="Calibri" w:eastAsia="Calibri"/>
          <w:b/>
          <w:i w:val="0"/>
          <w:color w:val="000000"/>
          <w:sz w:val="24"/>
        </w:rPr>
        <w:t>BACIAS DOS RIOS PIRACICABA, CAPIVARI E JUNDIAÍ (ARES-PCJ)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, no uso de suas atribuições e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523"/>
        <w:gridCol w:w="2523"/>
        <w:gridCol w:w="2523"/>
        <w:gridCol w:w="2523"/>
      </w:tblGrid>
      <w:tr>
        <w:trPr>
          <w:trHeight w:hRule="exact" w:val="292"/>
        </w:trPr>
        <w:tc>
          <w:tcPr>
            <w:tcW w:type="dxa" w:w="946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na forma da Cláusula 32ª, inciso XIV, do Protocolo de Intenções da ARES-PCJ, convertido em </w:t>
            </w:r>
          </w:p>
        </w:tc>
        <w:tc>
          <w:tcPr>
            <w:tcW w:type="dxa" w:w="38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74" w:after="0"/>
              <w:ind w:left="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Assinado por 1 pessoa:  DALTO FAVERO BROCHI</w:t>
            </w:r>
          </w:p>
        </w:tc>
        <w:tc>
          <w:tcPr>
            <w:tcW w:type="dxa" w:w="2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Para verificar a validade das assinaturas, acesse https://stip-arespcj.1doc.com.br/verificacao/C5C1-CB1F-7652-0F71 e informe o código C5C1-CB1F-7652-0F71</w:t>
            </w:r>
          </w:p>
        </w:tc>
      </w:tr>
      <w:tr>
        <w:trPr>
          <w:trHeight w:hRule="exact" w:val="560"/>
        </w:trPr>
        <w:tc>
          <w:tcPr>
            <w:tcW w:type="dxa" w:w="946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8" w:after="0"/>
              <w:ind w:left="14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Contrato de Consórcio Público, e o Artigo 29, inciso XV, do Estatuto da ARES-PCJ e; </w:t>
            </w:r>
          </w:p>
        </w:tc>
        <w:tc>
          <w:tcPr>
            <w:tcW w:type="dxa" w:w="2523"/>
            <w:vMerge/>
            <w:tcBorders/>
          </w:tcPr>
          <w:p/>
        </w:tc>
        <w:tc>
          <w:tcPr>
            <w:tcW w:type="dxa" w:w="2523"/>
            <w:vMerge/>
            <w:tcBorders/>
          </w:tcPr>
          <w:p/>
        </w:tc>
      </w:tr>
      <w:tr>
        <w:trPr>
          <w:trHeight w:hRule="exact" w:val="820"/>
        </w:trPr>
        <w:tc>
          <w:tcPr>
            <w:tcW w:type="dxa" w:w="946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98" w:after="0"/>
              <w:ind w:left="146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CONSIDERANDO: </w:t>
            </w:r>
          </w:p>
        </w:tc>
        <w:tc>
          <w:tcPr>
            <w:tcW w:type="dxa" w:w="2523"/>
            <w:vMerge/>
            <w:tcBorders/>
          </w:tcPr>
          <w:p/>
        </w:tc>
        <w:tc>
          <w:tcPr>
            <w:tcW w:type="dxa" w:w="2523"/>
            <w:vMerge/>
            <w:tcBorders/>
          </w:tcPr>
          <w:p/>
        </w:tc>
      </w:tr>
      <w:tr>
        <w:trPr>
          <w:trHeight w:hRule="exact" w:val="560"/>
        </w:trPr>
        <w:tc>
          <w:tcPr>
            <w:tcW w:type="dxa" w:w="946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0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Que a Agência Reguladora ARES-PCJ é associação pública, constituída na forma de Consórcio </w:t>
            </w:r>
          </w:p>
        </w:tc>
        <w:tc>
          <w:tcPr>
            <w:tcW w:type="dxa" w:w="2523"/>
            <w:vMerge/>
            <w:tcBorders/>
          </w:tcPr>
          <w:p/>
        </w:tc>
        <w:tc>
          <w:tcPr>
            <w:tcW w:type="dxa" w:w="2523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46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Público de direto público interno, de natureza autárquica em regime especial, integrante da </w:t>
            </w:r>
          </w:p>
        </w:tc>
        <w:tc>
          <w:tcPr>
            <w:tcW w:type="dxa" w:w="2523"/>
            <w:vMerge/>
            <w:tcBorders/>
          </w:tcPr>
          <w:p/>
        </w:tc>
        <w:tc>
          <w:tcPr>
            <w:tcW w:type="dxa" w:w="2523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46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administração indireta de todos os municípios consorciados, criada em conformidade com a </w:t>
            </w:r>
          </w:p>
        </w:tc>
        <w:tc>
          <w:tcPr>
            <w:tcW w:type="dxa" w:w="2523"/>
            <w:vMerge/>
            <w:tcBorders/>
          </w:tcPr>
          <w:p/>
        </w:tc>
        <w:tc>
          <w:tcPr>
            <w:tcW w:type="dxa" w:w="2523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46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Lei federal nº 11.107/2025 (Lei dos Consórcios Públicos), para atender as exigências da Lei </w:t>
            </w:r>
          </w:p>
        </w:tc>
        <w:tc>
          <w:tcPr>
            <w:tcW w:type="dxa" w:w="2523"/>
            <w:vMerge/>
            <w:tcBorders/>
          </w:tcPr>
          <w:p/>
        </w:tc>
        <w:tc>
          <w:tcPr>
            <w:tcW w:type="dxa" w:w="2523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46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2" w:after="0"/>
              <w:ind w:left="14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federal nº 11.445/2007 (Diretrizes Nacionais do Saneamento Básico); </w:t>
            </w:r>
          </w:p>
        </w:tc>
        <w:tc>
          <w:tcPr>
            <w:tcW w:type="dxa" w:w="2523"/>
            <w:vMerge/>
            <w:tcBorders/>
          </w:tcPr>
          <w:p/>
        </w:tc>
        <w:tc>
          <w:tcPr>
            <w:tcW w:type="dxa" w:w="2523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46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8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Que compete à ARES-PCJ regular e fiscalizar a prestação dos serviços públicos de </w:t>
            </w:r>
          </w:p>
        </w:tc>
        <w:tc>
          <w:tcPr>
            <w:tcW w:type="dxa" w:w="2523"/>
            <w:vMerge/>
            <w:tcBorders/>
          </w:tcPr>
          <w:p/>
        </w:tc>
        <w:tc>
          <w:tcPr>
            <w:tcW w:type="dxa" w:w="2523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46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abastecimento de água e esgotamento sanitário nos municípios consorciados, em </w:t>
            </w:r>
          </w:p>
        </w:tc>
        <w:tc>
          <w:tcPr>
            <w:tcW w:type="dxa" w:w="2523"/>
            <w:vMerge/>
            <w:tcBorders/>
          </w:tcPr>
          <w:p/>
        </w:tc>
        <w:tc>
          <w:tcPr>
            <w:tcW w:type="dxa" w:w="2523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46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conformidade com as normas federais, estaduais, municipais e as diretrizes da Agência </w:t>
            </w:r>
          </w:p>
        </w:tc>
        <w:tc>
          <w:tcPr>
            <w:tcW w:type="dxa" w:w="2523"/>
            <w:vMerge/>
            <w:tcBorders/>
          </w:tcPr>
          <w:p/>
        </w:tc>
        <w:tc>
          <w:tcPr>
            <w:tcW w:type="dxa" w:w="2523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46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8" w:after="0"/>
              <w:ind w:left="14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Nacional de Águas e Saneamento Básico - ANA; </w:t>
            </w:r>
          </w:p>
        </w:tc>
        <w:tc>
          <w:tcPr>
            <w:tcW w:type="dxa" w:w="2523"/>
            <w:vMerge/>
            <w:tcBorders/>
          </w:tcPr>
          <w:p/>
        </w:tc>
        <w:tc>
          <w:tcPr>
            <w:tcW w:type="dxa" w:w="2523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46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Que a Lei federal nº 11.445/2007, com redação dada pela Lei federal nº 14.026/2020, </w:t>
            </w:r>
          </w:p>
        </w:tc>
        <w:tc>
          <w:tcPr>
            <w:tcW w:type="dxa" w:w="2523"/>
            <w:vMerge/>
            <w:tcBorders/>
          </w:tcPr>
          <w:p/>
        </w:tc>
        <w:tc>
          <w:tcPr>
            <w:tcW w:type="dxa" w:w="2523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46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estabelece a obrigatoriedade de observância das normas de referência editadas pela ANA, </w:t>
            </w:r>
          </w:p>
        </w:tc>
        <w:tc>
          <w:tcPr>
            <w:tcW w:type="dxa" w:w="2523"/>
            <w:vMerge/>
            <w:tcBorders/>
          </w:tcPr>
          <w:p/>
        </w:tc>
        <w:tc>
          <w:tcPr>
            <w:tcW w:type="dxa" w:w="2523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46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com vistas à padronização, eficiência e segurança jurídica nos contratos de prestação de </w:t>
            </w:r>
          </w:p>
        </w:tc>
        <w:tc>
          <w:tcPr>
            <w:tcW w:type="dxa" w:w="2523"/>
            <w:vMerge/>
            <w:tcBorders/>
          </w:tcPr>
          <w:p/>
        </w:tc>
        <w:tc>
          <w:tcPr>
            <w:tcW w:type="dxa" w:w="2523"/>
            <w:vMerge/>
            <w:tcBorders/>
          </w:tcPr>
          <w:p/>
        </w:tc>
      </w:tr>
      <w:tr>
        <w:trPr>
          <w:trHeight w:hRule="exact" w:val="420"/>
        </w:trPr>
        <w:tc>
          <w:tcPr>
            <w:tcW w:type="dxa" w:w="946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4" w:after="0"/>
              <w:ind w:left="14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serviços de saneamento básico; </w:t>
            </w:r>
          </w:p>
        </w:tc>
        <w:tc>
          <w:tcPr>
            <w:tcW w:type="dxa" w:w="2523"/>
            <w:vMerge/>
            <w:tcBorders/>
          </w:tcPr>
          <w:p/>
        </w:tc>
        <w:tc>
          <w:tcPr>
            <w:tcW w:type="dxa" w:w="2523"/>
            <w:vMerge/>
            <w:tcBorders/>
          </w:tcPr>
          <w:p/>
        </w:tc>
      </w:tr>
      <w:tr>
        <w:trPr>
          <w:trHeight w:hRule="exact" w:val="460"/>
        </w:trPr>
        <w:tc>
          <w:tcPr>
            <w:tcW w:type="dxa" w:w="946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0" w:lineRule="exact" w:before="1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Que a Agência Nacional de Águas e Saneamento Básico – ANA editou, em 15 de janeiro de </w:t>
            </w:r>
          </w:p>
        </w:tc>
        <w:tc>
          <w:tcPr>
            <w:tcW w:type="dxa" w:w="2523"/>
            <w:vMerge/>
            <w:tcBorders/>
          </w:tcPr>
          <w:p/>
        </w:tc>
        <w:tc>
          <w:tcPr>
            <w:tcW w:type="dxa" w:w="2523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46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2024, a Norma de Referência nº 5/2024, estabelecendo diretrizes para a elaboração e </w:t>
            </w:r>
          </w:p>
        </w:tc>
        <w:tc>
          <w:tcPr>
            <w:tcW w:type="dxa" w:w="2523"/>
            <w:vMerge/>
            <w:tcBorders/>
          </w:tcPr>
          <w:p/>
        </w:tc>
        <w:tc>
          <w:tcPr>
            <w:tcW w:type="dxa" w:w="2523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46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utilização de matrizes de riscos nos contratos de concessão e parcerias público-privadas (PPP) </w:t>
            </w:r>
          </w:p>
        </w:tc>
        <w:tc>
          <w:tcPr>
            <w:tcW w:type="dxa" w:w="2523"/>
            <w:vMerge/>
            <w:tcBorders/>
          </w:tcPr>
          <w:p/>
        </w:tc>
        <w:tc>
          <w:tcPr>
            <w:tcW w:type="dxa" w:w="2523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46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no setor de saneamento básico, instrumento essencial para assegurar o equilíbrio econômico- </w:t>
            </w:r>
          </w:p>
        </w:tc>
        <w:tc>
          <w:tcPr>
            <w:tcW w:type="dxa" w:w="2523"/>
            <w:vMerge/>
            <w:tcBorders/>
          </w:tcPr>
          <w:p/>
        </w:tc>
        <w:tc>
          <w:tcPr>
            <w:tcW w:type="dxa" w:w="2523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46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0" w:after="0"/>
              <w:ind w:left="14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financeiro dos contratos; e </w:t>
            </w:r>
          </w:p>
        </w:tc>
        <w:tc>
          <w:tcPr>
            <w:tcW w:type="dxa" w:w="2523"/>
            <w:vMerge/>
            <w:tcBorders/>
          </w:tcPr>
          <w:p/>
        </w:tc>
        <w:tc>
          <w:tcPr>
            <w:tcW w:type="dxa" w:w="2523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46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Que, conforme a Norma nº 5/2024, a matriz de riscos deve ser clara, objetiva e compatível </w:t>
            </w:r>
          </w:p>
        </w:tc>
        <w:tc>
          <w:tcPr>
            <w:tcW w:type="dxa" w:w="2523"/>
            <w:vMerge/>
            <w:tcBorders/>
          </w:tcPr>
          <w:p/>
        </w:tc>
        <w:tc>
          <w:tcPr>
            <w:tcW w:type="dxa" w:w="2523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46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com as cláusulas contratuais, facilitando a gestão de riscos e garantindo eventual reequilíbrio </w:t>
            </w:r>
          </w:p>
        </w:tc>
        <w:tc>
          <w:tcPr>
            <w:tcW w:type="dxa" w:w="2523"/>
            <w:vMerge/>
            <w:tcBorders/>
          </w:tcPr>
          <w:p/>
        </w:tc>
        <w:tc>
          <w:tcPr>
            <w:tcW w:type="dxa" w:w="2523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46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econômico-financeiro, competindo à Agência Reguladora ARES-PCJ zelar pela sua adequada </w:t>
            </w:r>
          </w:p>
        </w:tc>
        <w:tc>
          <w:tcPr>
            <w:tcW w:type="dxa" w:w="2523"/>
            <w:vMerge/>
            <w:tcBorders/>
          </w:tcPr>
          <w:p/>
        </w:tc>
        <w:tc>
          <w:tcPr>
            <w:tcW w:type="dxa" w:w="2523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46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aplicação no âmbito dos municípios consorciados, bem como regulamentar, no exercício de </w:t>
            </w:r>
          </w:p>
        </w:tc>
        <w:tc>
          <w:tcPr>
            <w:tcW w:type="dxa" w:w="2523"/>
            <w:vMerge/>
            <w:tcBorders/>
          </w:tcPr>
          <w:p/>
        </w:tc>
        <w:tc>
          <w:tcPr>
            <w:tcW w:type="dxa" w:w="2523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46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suas atribuições, os parâmetros técnicos e jurídicos necessários à incorporação da matriz de </w:t>
            </w:r>
          </w:p>
        </w:tc>
        <w:tc>
          <w:tcPr>
            <w:tcW w:type="dxa" w:w="2523"/>
            <w:vMerge/>
            <w:tcBorders/>
          </w:tcPr>
          <w:p/>
        </w:tc>
        <w:tc>
          <w:tcPr>
            <w:tcW w:type="dxa" w:w="2523"/>
            <w:vMerge/>
            <w:tcBorders/>
          </w:tcPr>
          <w:p/>
        </w:tc>
      </w:tr>
      <w:tr>
        <w:trPr>
          <w:trHeight w:hRule="exact" w:val="500"/>
        </w:trPr>
        <w:tc>
          <w:tcPr>
            <w:tcW w:type="dxa" w:w="946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2" w:after="0"/>
              <w:ind w:left="14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riscos nos contratos firmados após a entrada em vigor da Norma de Referência nº 5/2024; </w:t>
            </w:r>
          </w:p>
        </w:tc>
        <w:tc>
          <w:tcPr>
            <w:tcW w:type="dxa" w:w="2523"/>
            <w:vMerge/>
            <w:tcBorders/>
          </w:tcPr>
          <w:p/>
        </w:tc>
        <w:tc>
          <w:tcPr>
            <w:tcW w:type="dxa" w:w="2523"/>
            <w:vMerge/>
            <w:tcBorders/>
          </w:tcPr>
          <w:p/>
        </w:tc>
      </w:tr>
      <w:tr>
        <w:trPr>
          <w:trHeight w:hRule="exact" w:val="538"/>
        </w:trPr>
        <w:tc>
          <w:tcPr>
            <w:tcW w:type="dxa" w:w="616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4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RESOLUÇÃO ARES-PCJ Nº 651 – 20/08/2025 </w:t>
            </w:r>
          </w:p>
        </w:tc>
        <w:tc>
          <w:tcPr>
            <w:tcW w:type="dxa" w:w="3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8" w:after="0"/>
              <w:ind w:left="0" w:right="50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 </w:t>
            </w:r>
          </w:p>
        </w:tc>
        <w:tc>
          <w:tcPr>
            <w:tcW w:type="dxa" w:w="2523"/>
            <w:vMerge/>
            <w:tcBorders/>
          </w:tcPr>
          <w:p/>
        </w:tc>
        <w:tc>
          <w:tcPr>
            <w:tcW w:type="dxa" w:w="2523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11" w:h="16841"/>
          <w:pgMar w:top="310" w:right="404" w:bottom="482" w:left="14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9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9790430</wp:posOffset>
            </wp:positionV>
            <wp:extent cx="7555230" cy="901548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5230" cy="90154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3574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2519680</wp:posOffset>
            </wp:positionH>
            <wp:positionV relativeFrom="page">
              <wp:posOffset>393700</wp:posOffset>
            </wp:positionV>
            <wp:extent cx="2518410" cy="539750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18410" cy="5397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94" w:lineRule="exact" w:before="208" w:after="0"/>
        <w:ind w:left="146" w:right="81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o Relatório de Análise de Impacto Regulatório ARES-PCJ nº 02/2025 apresentou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detalhamento das alternativas regulatórias para cumprimento dos objetivos relacionados à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adoção da Norma de Referência nº 05/2024; </w:t>
      </w:r>
    </w:p>
    <w:p>
      <w:pPr>
        <w:autoSpaceDN w:val="0"/>
        <w:autoSpaceDE w:val="0"/>
        <w:widowControl/>
        <w:spacing w:line="294" w:lineRule="exact" w:before="292" w:after="0"/>
        <w:ind w:left="146" w:right="81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 Agência Reguladora ARES-PCJ promoveu a participação social para colher críticas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sugestões de aperfeiçoamento do presente normativo por meio da Tomada de Subsídios nº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01/2025, da Consulta Pública nº 09/2025 e da Audiência Pública nº 09/2025; </w:t>
      </w:r>
    </w:p>
    <w:p>
      <w:pPr>
        <w:autoSpaceDN w:val="0"/>
        <w:autoSpaceDE w:val="0"/>
        <w:widowControl/>
        <w:spacing w:line="292" w:lineRule="exact" w:before="294" w:after="522"/>
        <w:ind w:left="146" w:right="72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foram atendidos os requisitos formais e legais para edição do presente normativo,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Diretoria Colegiada da Agência Reguladora ARES-PCJ, reunida em 20 de agosto de 2025,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523"/>
        <w:gridCol w:w="2523"/>
        <w:gridCol w:w="2523"/>
        <w:gridCol w:w="2523"/>
      </w:tblGrid>
      <w:tr>
        <w:trPr>
          <w:trHeight w:hRule="exact" w:val="790"/>
        </w:trPr>
        <w:tc>
          <w:tcPr>
            <w:tcW w:type="dxa" w:w="946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42" w:after="0"/>
              <w:ind w:left="146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RESOLVE: </w:t>
            </w:r>
          </w:p>
        </w:tc>
        <w:tc>
          <w:tcPr>
            <w:tcW w:type="dxa" w:w="38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74" w:after="0"/>
              <w:ind w:left="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Assinado por 1 pessoa:  DALTO FAVERO BROCHI</w:t>
            </w:r>
          </w:p>
        </w:tc>
        <w:tc>
          <w:tcPr>
            <w:tcW w:type="dxa" w:w="2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Para verificar a validade das assinaturas, acesse https://stip-arespcj.1doc.com.br/verificacao/C5C1-CB1F-7652-0F71 e informe o código C5C1-CB1F-7652-0F71</w:t>
            </w:r>
          </w:p>
        </w:tc>
      </w:tr>
      <w:tr>
        <w:trPr>
          <w:trHeight w:hRule="exact" w:val="580"/>
        </w:trPr>
        <w:tc>
          <w:tcPr>
            <w:tcW w:type="dxa" w:w="946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3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Estabelecer normativo sobre critérios mínimos às matrizes de riscos nos contratos de </w:t>
            </w:r>
          </w:p>
        </w:tc>
        <w:tc>
          <w:tcPr>
            <w:tcW w:type="dxa" w:w="2523"/>
            <w:vMerge/>
            <w:tcBorders/>
          </w:tcPr>
          <w:p/>
        </w:tc>
        <w:tc>
          <w:tcPr>
            <w:tcW w:type="dxa" w:w="2523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46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concessão e parecerias público-privadas para a prestação de serviços de abastecimento de </w:t>
            </w:r>
          </w:p>
        </w:tc>
        <w:tc>
          <w:tcPr>
            <w:tcW w:type="dxa" w:w="2523"/>
            <w:vMerge/>
            <w:tcBorders/>
          </w:tcPr>
          <w:p/>
        </w:tc>
        <w:tc>
          <w:tcPr>
            <w:tcW w:type="dxa" w:w="2523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46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6" w:after="0"/>
              <w:ind w:left="14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água e esgotamento sanitário nos municípios regulados pela Agência Reguladora PCJ. </w:t>
            </w:r>
          </w:p>
        </w:tc>
        <w:tc>
          <w:tcPr>
            <w:tcW w:type="dxa" w:w="2523"/>
            <w:vMerge/>
            <w:tcBorders/>
          </w:tcPr>
          <w:p/>
        </w:tc>
        <w:tc>
          <w:tcPr>
            <w:tcW w:type="dxa" w:w="2523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46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CAPÍTULO I </w:t>
            </w:r>
          </w:p>
        </w:tc>
        <w:tc>
          <w:tcPr>
            <w:tcW w:type="dxa" w:w="2523"/>
            <w:vMerge/>
            <w:tcBorders/>
          </w:tcPr>
          <w:p/>
        </w:tc>
        <w:tc>
          <w:tcPr>
            <w:tcW w:type="dxa" w:w="2523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46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DO OBJETO </w:t>
            </w:r>
          </w:p>
        </w:tc>
        <w:tc>
          <w:tcPr>
            <w:tcW w:type="dxa" w:w="2523"/>
            <w:vMerge/>
            <w:tcBorders/>
          </w:tcPr>
          <w:p/>
        </w:tc>
        <w:tc>
          <w:tcPr>
            <w:tcW w:type="dxa" w:w="2523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46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Art. 1º Esta Resolução estabelece as condições e procedimentos para a implementação da </w:t>
            </w:r>
          </w:p>
        </w:tc>
        <w:tc>
          <w:tcPr>
            <w:tcW w:type="dxa" w:w="2523"/>
            <w:vMerge/>
            <w:tcBorders/>
          </w:tcPr>
          <w:p/>
        </w:tc>
        <w:tc>
          <w:tcPr>
            <w:tcW w:type="dxa" w:w="2523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46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matriz de riscos nos contratos de concessão e parcerias público-privadas de serviços públicos </w:t>
            </w:r>
          </w:p>
        </w:tc>
        <w:tc>
          <w:tcPr>
            <w:tcW w:type="dxa" w:w="2523"/>
            <w:vMerge/>
            <w:tcBorders/>
          </w:tcPr>
          <w:p/>
        </w:tc>
        <w:tc>
          <w:tcPr>
            <w:tcW w:type="dxa" w:w="2523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46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saneamento básico, firmados após 15 de janeiro de 2024, nos municípios sob a regulação </w:t>
            </w:r>
          </w:p>
        </w:tc>
        <w:tc>
          <w:tcPr>
            <w:tcW w:type="dxa" w:w="2523"/>
            <w:vMerge/>
            <w:tcBorders/>
          </w:tcPr>
          <w:p/>
        </w:tc>
        <w:tc>
          <w:tcPr>
            <w:tcW w:type="dxa" w:w="2523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46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da Agência Reguladora dos Serviços de Saneamento das Bacias dos Rios Piracicaba, Capivari e </w:t>
            </w:r>
          </w:p>
        </w:tc>
        <w:tc>
          <w:tcPr>
            <w:tcW w:type="dxa" w:w="2523"/>
            <w:vMerge/>
            <w:tcBorders/>
          </w:tcPr>
          <w:p/>
        </w:tc>
        <w:tc>
          <w:tcPr>
            <w:tcW w:type="dxa" w:w="2523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46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0" w:after="0"/>
              <w:ind w:left="14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Jundiaí, doravante ARES-PCJ. </w:t>
            </w:r>
          </w:p>
        </w:tc>
        <w:tc>
          <w:tcPr>
            <w:tcW w:type="dxa" w:w="2523"/>
            <w:vMerge/>
            <w:tcBorders/>
          </w:tcPr>
          <w:p/>
        </w:tc>
        <w:tc>
          <w:tcPr>
            <w:tcW w:type="dxa" w:w="2523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46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Parágrafo único. Considera-se matriz de riscos a cláusula, podendo remeter a anexo do </w:t>
            </w:r>
          </w:p>
        </w:tc>
        <w:tc>
          <w:tcPr>
            <w:tcW w:type="dxa" w:w="2523"/>
            <w:vMerge/>
            <w:tcBorders/>
          </w:tcPr>
          <w:p/>
        </w:tc>
        <w:tc>
          <w:tcPr>
            <w:tcW w:type="dxa" w:w="2523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46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contrato, que define a repartição objetiva de riscos entre as partes, para arcar com as </w:t>
            </w:r>
          </w:p>
        </w:tc>
        <w:tc>
          <w:tcPr>
            <w:tcW w:type="dxa" w:w="2523"/>
            <w:vMerge/>
            <w:tcBorders/>
          </w:tcPr>
          <w:p/>
        </w:tc>
        <w:tc>
          <w:tcPr>
            <w:tcW w:type="dxa" w:w="2523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46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consequências de eventos supervenientes à contratação que afetem o equilíbrio econômico- </w:t>
            </w:r>
          </w:p>
        </w:tc>
        <w:tc>
          <w:tcPr>
            <w:tcW w:type="dxa" w:w="2523"/>
            <w:vMerge/>
            <w:tcBorders/>
          </w:tcPr>
          <w:p/>
        </w:tc>
        <w:tc>
          <w:tcPr>
            <w:tcW w:type="dxa" w:w="2523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46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8" w:after="0"/>
              <w:ind w:left="14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financeiro do contrato. </w:t>
            </w:r>
          </w:p>
        </w:tc>
        <w:tc>
          <w:tcPr>
            <w:tcW w:type="dxa" w:w="2523"/>
            <w:vMerge/>
            <w:tcBorders/>
          </w:tcPr>
          <w:p/>
        </w:tc>
        <w:tc>
          <w:tcPr>
            <w:tcW w:type="dxa" w:w="2523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46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8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CAPÍTULO II </w:t>
            </w:r>
          </w:p>
        </w:tc>
        <w:tc>
          <w:tcPr>
            <w:tcW w:type="dxa" w:w="2523"/>
            <w:vMerge/>
            <w:tcBorders/>
          </w:tcPr>
          <w:p/>
        </w:tc>
        <w:tc>
          <w:tcPr>
            <w:tcW w:type="dxa" w:w="2523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46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DAS DEFINIÇÕES </w:t>
            </w:r>
          </w:p>
        </w:tc>
        <w:tc>
          <w:tcPr>
            <w:tcW w:type="dxa" w:w="2523"/>
            <w:vMerge/>
            <w:tcBorders/>
          </w:tcPr>
          <w:p/>
        </w:tc>
        <w:tc>
          <w:tcPr>
            <w:tcW w:type="dxa" w:w="2523"/>
            <w:vMerge/>
            <w:tcBorders/>
          </w:tcPr>
          <w:p/>
        </w:tc>
      </w:tr>
      <w:tr>
        <w:trPr>
          <w:trHeight w:hRule="exact" w:val="560"/>
        </w:trPr>
        <w:tc>
          <w:tcPr>
            <w:tcW w:type="dxa" w:w="946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82" w:after="0"/>
              <w:ind w:left="14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Art. 2º Para os fins desta Resolução são adotadas as seguintes definições: </w:t>
            </w:r>
          </w:p>
        </w:tc>
        <w:tc>
          <w:tcPr>
            <w:tcW w:type="dxa" w:w="2523"/>
            <w:vMerge/>
            <w:tcBorders/>
          </w:tcPr>
          <w:p/>
        </w:tc>
        <w:tc>
          <w:tcPr>
            <w:tcW w:type="dxa" w:w="2523"/>
            <w:vMerge/>
            <w:tcBorders/>
          </w:tcPr>
          <w:p/>
        </w:tc>
      </w:tr>
      <w:tr>
        <w:trPr>
          <w:trHeight w:hRule="exact" w:val="480"/>
        </w:trPr>
        <w:tc>
          <w:tcPr>
            <w:tcW w:type="dxa" w:w="946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0" w:lineRule="exact" w:before="1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I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– matriz de riscos: cláusula, podendo remeter a anexo do contrato, que define a repartição </w:t>
            </w:r>
          </w:p>
        </w:tc>
        <w:tc>
          <w:tcPr>
            <w:tcW w:type="dxa" w:w="2523"/>
            <w:vMerge/>
            <w:tcBorders/>
          </w:tcPr>
          <w:p/>
        </w:tc>
        <w:tc>
          <w:tcPr>
            <w:tcW w:type="dxa" w:w="2523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46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objetiva de riscos entre as partes, para arcar com as consequências de eventos supervenientes </w:t>
            </w:r>
          </w:p>
        </w:tc>
        <w:tc>
          <w:tcPr>
            <w:tcW w:type="dxa" w:w="2523"/>
            <w:vMerge/>
            <w:tcBorders/>
          </w:tcPr>
          <w:p/>
        </w:tc>
        <w:tc>
          <w:tcPr>
            <w:tcW w:type="dxa" w:w="2523"/>
            <w:vMerge/>
            <w:tcBorders/>
          </w:tcPr>
          <w:p/>
        </w:tc>
      </w:tr>
      <w:tr>
        <w:trPr>
          <w:trHeight w:hRule="exact" w:val="420"/>
        </w:trPr>
        <w:tc>
          <w:tcPr>
            <w:tcW w:type="dxa" w:w="946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6" w:after="0"/>
              <w:ind w:left="14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à contratação que afetem o equilíbrio econômico-financeiro do contrato. </w:t>
            </w:r>
          </w:p>
        </w:tc>
        <w:tc>
          <w:tcPr>
            <w:tcW w:type="dxa" w:w="2523"/>
            <w:vMerge/>
            <w:tcBorders/>
          </w:tcPr>
          <w:p/>
        </w:tc>
        <w:tc>
          <w:tcPr>
            <w:tcW w:type="dxa" w:w="2523"/>
            <w:vMerge/>
            <w:tcBorders/>
          </w:tcPr>
          <w:p/>
        </w:tc>
      </w:tr>
      <w:tr>
        <w:trPr>
          <w:trHeight w:hRule="exact" w:val="480"/>
        </w:trPr>
        <w:tc>
          <w:tcPr>
            <w:tcW w:type="dxa" w:w="946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152" w:after="0"/>
              <w:ind w:left="14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II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– bens reversíveis: bens móveis e imóveis vinculados à prestação dos serviços públicos de </w:t>
            </w:r>
          </w:p>
        </w:tc>
        <w:tc>
          <w:tcPr>
            <w:tcW w:type="dxa" w:w="2523"/>
            <w:vMerge/>
            <w:tcBorders/>
          </w:tcPr>
          <w:p/>
        </w:tc>
        <w:tc>
          <w:tcPr>
            <w:tcW w:type="dxa" w:w="2523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46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abastecimento de água e/ou de esgotamento sanitário objeto do contrato, sejam os </w:t>
            </w:r>
          </w:p>
        </w:tc>
        <w:tc>
          <w:tcPr>
            <w:tcW w:type="dxa" w:w="2523"/>
            <w:vMerge/>
            <w:tcBorders/>
          </w:tcPr>
          <w:p/>
        </w:tc>
        <w:tc>
          <w:tcPr>
            <w:tcW w:type="dxa" w:w="2523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46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submetidos à gestão do prestador na assunção dos serviços ou, sejam os adquiridos, recebidos </w:t>
            </w:r>
          </w:p>
        </w:tc>
        <w:tc>
          <w:tcPr>
            <w:tcW w:type="dxa" w:w="2523"/>
            <w:vMerge/>
            <w:tcBorders/>
          </w:tcPr>
          <w:p/>
        </w:tc>
        <w:tc>
          <w:tcPr>
            <w:tcW w:type="dxa" w:w="2523"/>
            <w:vMerge/>
            <w:tcBorders/>
          </w:tcPr>
          <w:p/>
        </w:tc>
      </w:tr>
      <w:tr>
        <w:trPr>
          <w:trHeight w:hRule="exact" w:val="420"/>
        </w:trPr>
        <w:tc>
          <w:tcPr>
            <w:tcW w:type="dxa" w:w="946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ou produzidos ao longo da execução do contrato, e que deverão ser revertidos ao(s) titular(es), </w:t>
            </w:r>
          </w:p>
        </w:tc>
        <w:tc>
          <w:tcPr>
            <w:tcW w:type="dxa" w:w="2523"/>
            <w:vMerge/>
            <w:tcBorders/>
          </w:tcPr>
          <w:p/>
        </w:tc>
        <w:tc>
          <w:tcPr>
            <w:tcW w:type="dxa" w:w="2523"/>
            <w:vMerge/>
            <w:tcBorders/>
          </w:tcPr>
          <w:p/>
        </w:tc>
      </w:tr>
      <w:tr>
        <w:trPr>
          <w:trHeight w:hRule="exact" w:val="438"/>
        </w:trPr>
        <w:tc>
          <w:tcPr>
            <w:tcW w:type="dxa" w:w="616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4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RESOLUÇÃO ARES-PCJ Nº 651 – 20/08/2025 </w:t>
            </w:r>
          </w:p>
        </w:tc>
        <w:tc>
          <w:tcPr>
            <w:tcW w:type="dxa" w:w="3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88" w:after="0"/>
              <w:ind w:left="0" w:right="50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 </w:t>
            </w:r>
          </w:p>
        </w:tc>
        <w:tc>
          <w:tcPr>
            <w:tcW w:type="dxa" w:w="2523"/>
            <w:vMerge/>
            <w:tcBorders/>
          </w:tcPr>
          <w:p/>
        </w:tc>
        <w:tc>
          <w:tcPr>
            <w:tcW w:type="dxa" w:w="2523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11" w:h="16841"/>
          <w:pgMar w:top="310" w:right="404" w:bottom="482" w:left="14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9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9790430</wp:posOffset>
            </wp:positionV>
            <wp:extent cx="7555230" cy="901548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5230" cy="90154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3574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2519680</wp:posOffset>
            </wp:positionH>
            <wp:positionV relativeFrom="page">
              <wp:posOffset>393700</wp:posOffset>
            </wp:positionV>
            <wp:extent cx="2518410" cy="539750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18410" cy="5397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exact" w:before="262" w:after="0"/>
        <w:ind w:left="202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em adequadas condições de operação. </w:t>
      </w:r>
    </w:p>
    <w:p>
      <w:pPr>
        <w:autoSpaceDN w:val="0"/>
        <w:autoSpaceDE w:val="0"/>
        <w:widowControl/>
        <w:spacing w:line="276" w:lineRule="exact" w:before="342" w:after="0"/>
        <w:ind w:left="146" w:right="81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>III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– reequilíbrio econômico-financeiro: ajuste contratual realizado para restabelecer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equilíbrio entre as partes, em decorrência de eventos imprevistos que alterem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significativamente os custos ou receitas do contrato. </w:t>
      </w:r>
    </w:p>
    <w:p>
      <w:pPr>
        <w:autoSpaceDN w:val="0"/>
        <w:autoSpaceDE w:val="0"/>
        <w:widowControl/>
        <w:spacing w:line="278" w:lineRule="exact" w:before="340" w:after="0"/>
        <w:ind w:left="146" w:right="8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>IV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– risco: evento ou situação cuja possibilidade de ocorrência é conhecida, que possa afetar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 equilíbrio econômico-financeiro do contrato, podendo ser imprevisto ou não controlado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pelas partes. </w:t>
      </w:r>
    </w:p>
    <w:p>
      <w:pPr>
        <w:autoSpaceDN w:val="0"/>
        <w:autoSpaceDE w:val="0"/>
        <w:widowControl/>
        <w:spacing w:line="322" w:lineRule="exact" w:before="298" w:after="10"/>
        <w:ind w:left="14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>V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– eventos superveniente: situações imprevistas ou extraordinárias que surgem após a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523"/>
        <w:gridCol w:w="2523"/>
        <w:gridCol w:w="2523"/>
        <w:gridCol w:w="2523"/>
      </w:tblGrid>
      <w:tr>
        <w:trPr>
          <w:trHeight w:hRule="exact" w:val="394"/>
        </w:trPr>
        <w:tc>
          <w:tcPr>
            <w:tcW w:type="dxa" w:w="946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0" w:after="0"/>
              <w:ind w:left="14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assinatura do contrato e impactam seu equilíbrio econômico-financeiro. </w:t>
            </w:r>
          </w:p>
        </w:tc>
        <w:tc>
          <w:tcPr>
            <w:tcW w:type="dxa" w:w="38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74" w:after="0"/>
              <w:ind w:left="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Assinado por 1 pessoa:  DALTO FAVERO BROCHI</w:t>
            </w:r>
          </w:p>
        </w:tc>
        <w:tc>
          <w:tcPr>
            <w:tcW w:type="dxa" w:w="2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Para verificar a validade das assinaturas, acesse https://stip-arespcj.1doc.com.br/verificacao/C5C1-CB1F-7652-0F71 e informe o código C5C1-CB1F-7652-0F71</w:t>
            </w:r>
          </w:p>
        </w:tc>
      </w:tr>
      <w:tr>
        <w:trPr>
          <w:trHeight w:hRule="exact" w:val="480"/>
        </w:trPr>
        <w:tc>
          <w:tcPr>
            <w:tcW w:type="dxa" w:w="946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0" w:lineRule="exact" w:before="1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VI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– área de concessão: área geográfica definida em contrato ou outro instrumento </w:t>
            </w:r>
          </w:p>
        </w:tc>
        <w:tc>
          <w:tcPr>
            <w:tcW w:type="dxa" w:w="2523"/>
            <w:vMerge/>
            <w:tcBorders/>
          </w:tcPr>
          <w:p/>
        </w:tc>
        <w:tc>
          <w:tcPr>
            <w:tcW w:type="dxa" w:w="2523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46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legalmente admitido, na qual o prestador de serviços obriga-se a prestar os serviços de </w:t>
            </w:r>
          </w:p>
        </w:tc>
        <w:tc>
          <w:tcPr>
            <w:tcW w:type="dxa" w:w="2523"/>
            <w:vMerge/>
            <w:tcBorders/>
          </w:tcPr>
          <w:p/>
        </w:tc>
        <w:tc>
          <w:tcPr>
            <w:tcW w:type="dxa" w:w="2523"/>
            <w:vMerge/>
            <w:tcBorders/>
          </w:tcPr>
          <w:p/>
        </w:tc>
      </w:tr>
      <w:tr>
        <w:trPr>
          <w:trHeight w:hRule="exact" w:val="460"/>
        </w:trPr>
        <w:tc>
          <w:tcPr>
            <w:tcW w:type="dxa" w:w="946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8" w:after="0"/>
              <w:ind w:left="14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abastecimento de água e esgotamento sanitário </w:t>
            </w:r>
          </w:p>
        </w:tc>
        <w:tc>
          <w:tcPr>
            <w:tcW w:type="dxa" w:w="2523"/>
            <w:vMerge/>
            <w:tcBorders/>
          </w:tcPr>
          <w:p/>
        </w:tc>
        <w:tc>
          <w:tcPr>
            <w:tcW w:type="dxa" w:w="2523"/>
            <w:vMerge/>
            <w:tcBorders/>
          </w:tcPr>
          <w:p/>
        </w:tc>
      </w:tr>
      <w:tr>
        <w:trPr>
          <w:trHeight w:hRule="exact" w:val="460"/>
        </w:trPr>
        <w:tc>
          <w:tcPr>
            <w:tcW w:type="dxa" w:w="946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9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CAPÍTULO III </w:t>
            </w:r>
          </w:p>
        </w:tc>
        <w:tc>
          <w:tcPr>
            <w:tcW w:type="dxa" w:w="2523"/>
            <w:vMerge/>
            <w:tcBorders/>
          </w:tcPr>
          <w:p/>
        </w:tc>
        <w:tc>
          <w:tcPr>
            <w:tcW w:type="dxa" w:w="2523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46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DA MATRIZ DE RISCOS NOS CONTRATOS LICITADOS APÓS A APROVAÇÃO DA NORMA DE </w:t>
            </w:r>
          </w:p>
        </w:tc>
        <w:tc>
          <w:tcPr>
            <w:tcW w:type="dxa" w:w="2523"/>
            <w:vMerge/>
            <w:tcBorders/>
          </w:tcPr>
          <w:p/>
        </w:tc>
        <w:tc>
          <w:tcPr>
            <w:tcW w:type="dxa" w:w="2523"/>
            <w:vMerge/>
            <w:tcBorders/>
          </w:tcPr>
          <w:p/>
        </w:tc>
      </w:tr>
      <w:tr>
        <w:trPr>
          <w:trHeight w:hRule="exact" w:val="580"/>
        </w:trPr>
        <w:tc>
          <w:tcPr>
            <w:tcW w:type="dxa" w:w="946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REFERÊNCIA Nº 5/2024 DA ANA </w:t>
            </w:r>
          </w:p>
        </w:tc>
        <w:tc>
          <w:tcPr>
            <w:tcW w:type="dxa" w:w="2523"/>
            <w:vMerge/>
            <w:tcBorders/>
          </w:tcPr>
          <w:p/>
        </w:tc>
        <w:tc>
          <w:tcPr>
            <w:tcW w:type="dxa" w:w="2523"/>
            <w:vMerge/>
            <w:tcBorders/>
          </w:tcPr>
          <w:p/>
        </w:tc>
      </w:tr>
      <w:tr>
        <w:trPr>
          <w:trHeight w:hRule="exact" w:val="560"/>
        </w:trPr>
        <w:tc>
          <w:tcPr>
            <w:tcW w:type="dxa" w:w="946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0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Seção I </w:t>
            </w:r>
          </w:p>
        </w:tc>
        <w:tc>
          <w:tcPr>
            <w:tcW w:type="dxa" w:w="2523"/>
            <w:vMerge/>
            <w:tcBorders/>
          </w:tcPr>
          <w:p/>
        </w:tc>
        <w:tc>
          <w:tcPr>
            <w:tcW w:type="dxa" w:w="2523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46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Dos futuros Editais e Contratos </w:t>
            </w:r>
          </w:p>
        </w:tc>
        <w:tc>
          <w:tcPr>
            <w:tcW w:type="dxa" w:w="2523"/>
            <w:vMerge/>
            <w:tcBorders/>
          </w:tcPr>
          <w:p/>
        </w:tc>
        <w:tc>
          <w:tcPr>
            <w:tcW w:type="dxa" w:w="2523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46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8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Art. 3º Os editais de licitação e contratos de concessão para prestação de serviços públicos de </w:t>
            </w:r>
          </w:p>
        </w:tc>
        <w:tc>
          <w:tcPr>
            <w:tcW w:type="dxa" w:w="2523"/>
            <w:vMerge/>
            <w:tcBorders/>
          </w:tcPr>
          <w:p/>
        </w:tc>
        <w:tc>
          <w:tcPr>
            <w:tcW w:type="dxa" w:w="2523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46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abastecimento de água e esgotamento sanitário publicados após a vigência desta resolução </w:t>
            </w:r>
          </w:p>
        </w:tc>
        <w:tc>
          <w:tcPr>
            <w:tcW w:type="dxa" w:w="2523"/>
            <w:vMerge/>
            <w:tcBorders/>
          </w:tcPr>
          <w:p/>
        </w:tc>
        <w:tc>
          <w:tcPr>
            <w:tcW w:type="dxa" w:w="2523"/>
            <w:vMerge/>
            <w:tcBorders/>
          </w:tcPr>
          <w:p/>
        </w:tc>
      </w:tr>
      <w:tr>
        <w:trPr>
          <w:trHeight w:hRule="exact" w:val="420"/>
        </w:trPr>
        <w:tc>
          <w:tcPr>
            <w:tcW w:type="dxa" w:w="946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0" w:after="0"/>
              <w:ind w:left="14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deverão: </w:t>
            </w:r>
          </w:p>
        </w:tc>
        <w:tc>
          <w:tcPr>
            <w:tcW w:type="dxa" w:w="2523"/>
            <w:vMerge/>
            <w:tcBorders/>
          </w:tcPr>
          <w:p/>
        </w:tc>
        <w:tc>
          <w:tcPr>
            <w:tcW w:type="dxa" w:w="2523"/>
            <w:vMerge/>
            <w:tcBorders/>
          </w:tcPr>
          <w:p/>
        </w:tc>
      </w:tr>
      <w:tr>
        <w:trPr>
          <w:trHeight w:hRule="exact" w:val="480"/>
        </w:trPr>
        <w:tc>
          <w:tcPr>
            <w:tcW w:type="dxa" w:w="946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1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I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– prever a distribuição objetiva dos riscos, devendo a sua alocação observar as diretrizes </w:t>
            </w:r>
          </w:p>
        </w:tc>
        <w:tc>
          <w:tcPr>
            <w:tcW w:type="dxa" w:w="2523"/>
            <w:vMerge/>
            <w:tcBorders/>
          </w:tcPr>
          <w:p/>
        </w:tc>
        <w:tc>
          <w:tcPr>
            <w:tcW w:type="dxa" w:w="2523"/>
            <w:vMerge/>
            <w:tcBorders/>
          </w:tcPr>
          <w:p/>
        </w:tc>
      </w:tr>
      <w:tr>
        <w:trPr>
          <w:trHeight w:hRule="exact" w:val="260"/>
        </w:trPr>
        <w:tc>
          <w:tcPr>
            <w:tcW w:type="dxa" w:w="946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desta Norma de Referência e os regulamentos da entidade reguladora infranacional, quando </w:t>
            </w:r>
          </w:p>
        </w:tc>
        <w:tc>
          <w:tcPr>
            <w:tcW w:type="dxa" w:w="2523"/>
            <w:vMerge/>
            <w:tcBorders/>
          </w:tcPr>
          <w:p/>
        </w:tc>
        <w:tc>
          <w:tcPr>
            <w:tcW w:type="dxa" w:w="2523"/>
            <w:vMerge/>
            <w:tcBorders/>
          </w:tcPr>
          <w:p/>
        </w:tc>
      </w:tr>
      <w:tr>
        <w:trPr>
          <w:trHeight w:hRule="exact" w:val="420"/>
        </w:trPr>
        <w:tc>
          <w:tcPr>
            <w:tcW w:type="dxa" w:w="946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6" w:after="0"/>
              <w:ind w:left="14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houver; </w:t>
            </w:r>
          </w:p>
        </w:tc>
        <w:tc>
          <w:tcPr>
            <w:tcW w:type="dxa" w:w="2523"/>
            <w:vMerge/>
            <w:tcBorders/>
          </w:tcPr>
          <w:p/>
        </w:tc>
        <w:tc>
          <w:tcPr>
            <w:tcW w:type="dxa" w:w="2523"/>
            <w:vMerge/>
            <w:tcBorders/>
          </w:tcPr>
          <w:p/>
        </w:tc>
      </w:tr>
      <w:tr>
        <w:trPr>
          <w:trHeight w:hRule="exact" w:val="480"/>
        </w:trPr>
        <w:tc>
          <w:tcPr>
            <w:tcW w:type="dxa" w:w="946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1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II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– incluir a relação de riscos a serem segurados para fins de elaboração das propostas pelos </w:t>
            </w:r>
          </w:p>
        </w:tc>
        <w:tc>
          <w:tcPr>
            <w:tcW w:type="dxa" w:w="2523"/>
            <w:vMerge/>
            <w:tcBorders/>
          </w:tcPr>
          <w:p/>
        </w:tc>
        <w:tc>
          <w:tcPr>
            <w:tcW w:type="dxa" w:w="2523"/>
            <w:vMerge/>
            <w:tcBorders/>
          </w:tcPr>
          <w:p/>
        </w:tc>
      </w:tr>
      <w:tr>
        <w:trPr>
          <w:trHeight w:hRule="exact" w:val="400"/>
        </w:trPr>
        <w:tc>
          <w:tcPr>
            <w:tcW w:type="dxa" w:w="946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4" w:after="0"/>
              <w:ind w:left="14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licitantes; e </w:t>
            </w:r>
          </w:p>
        </w:tc>
        <w:tc>
          <w:tcPr>
            <w:tcW w:type="dxa" w:w="2523"/>
            <w:vMerge/>
            <w:tcBorders/>
          </w:tcPr>
          <w:p/>
        </w:tc>
        <w:tc>
          <w:tcPr>
            <w:tcW w:type="dxa" w:w="2523"/>
            <w:vMerge/>
            <w:tcBorders/>
          </w:tcPr>
          <w:p/>
        </w:tc>
      </w:tr>
      <w:tr>
        <w:trPr>
          <w:trHeight w:hRule="exact" w:val="620"/>
        </w:trPr>
        <w:tc>
          <w:tcPr>
            <w:tcW w:type="dxa" w:w="946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160" w:after="0"/>
              <w:ind w:left="14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III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– prever que os riscos residuais poderão ensejar reequilíbrio econômico-financeiro. </w:t>
            </w:r>
          </w:p>
        </w:tc>
        <w:tc>
          <w:tcPr>
            <w:tcW w:type="dxa" w:w="2523"/>
            <w:vMerge/>
            <w:tcBorders/>
          </w:tcPr>
          <w:p/>
        </w:tc>
        <w:tc>
          <w:tcPr>
            <w:tcW w:type="dxa" w:w="2523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46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Art. 4º A matriz de riscos para contratos futuros deverá, preferencialmente, ser detalhada em </w:t>
            </w:r>
          </w:p>
        </w:tc>
        <w:tc>
          <w:tcPr>
            <w:tcW w:type="dxa" w:w="2523"/>
            <w:vMerge/>
            <w:tcBorders/>
          </w:tcPr>
          <w:p/>
        </w:tc>
        <w:tc>
          <w:tcPr>
            <w:tcW w:type="dxa" w:w="2523"/>
            <w:vMerge/>
            <w:tcBorders/>
          </w:tcPr>
          <w:p/>
        </w:tc>
      </w:tr>
      <w:tr>
        <w:trPr>
          <w:trHeight w:hRule="exact" w:val="580"/>
        </w:trPr>
        <w:tc>
          <w:tcPr>
            <w:tcW w:type="dxa" w:w="946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8" w:after="0"/>
              <w:ind w:left="14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anexo do contrato, com referência nas disposições contratuais. </w:t>
            </w:r>
          </w:p>
        </w:tc>
        <w:tc>
          <w:tcPr>
            <w:tcW w:type="dxa" w:w="2523"/>
            <w:vMerge/>
            <w:tcBorders/>
          </w:tcPr>
          <w:p/>
        </w:tc>
        <w:tc>
          <w:tcPr>
            <w:tcW w:type="dxa" w:w="2523"/>
            <w:vMerge/>
            <w:tcBorders/>
          </w:tcPr>
          <w:p/>
        </w:tc>
      </w:tr>
      <w:tr>
        <w:trPr>
          <w:trHeight w:hRule="exact" w:val="580"/>
        </w:trPr>
        <w:tc>
          <w:tcPr>
            <w:tcW w:type="dxa" w:w="946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2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Seção II </w:t>
            </w:r>
          </w:p>
        </w:tc>
        <w:tc>
          <w:tcPr>
            <w:tcW w:type="dxa" w:w="2523"/>
            <w:vMerge/>
            <w:tcBorders/>
          </w:tcPr>
          <w:p/>
        </w:tc>
        <w:tc>
          <w:tcPr>
            <w:tcW w:type="dxa" w:w="2523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46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Parâmetros para a construção da matriz de riscos para futuros contratos de concessão e </w:t>
            </w:r>
          </w:p>
        </w:tc>
        <w:tc>
          <w:tcPr>
            <w:tcW w:type="dxa" w:w="2523"/>
            <w:vMerge/>
            <w:tcBorders/>
          </w:tcPr>
          <w:p/>
        </w:tc>
        <w:tc>
          <w:tcPr>
            <w:tcW w:type="dxa" w:w="2523"/>
            <w:vMerge/>
            <w:tcBorders/>
          </w:tcPr>
          <w:p/>
        </w:tc>
      </w:tr>
      <w:tr>
        <w:trPr>
          <w:trHeight w:hRule="exact" w:val="620"/>
        </w:trPr>
        <w:tc>
          <w:tcPr>
            <w:tcW w:type="dxa" w:w="946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PPP </w:t>
            </w:r>
          </w:p>
        </w:tc>
        <w:tc>
          <w:tcPr>
            <w:tcW w:type="dxa" w:w="2523"/>
            <w:vMerge/>
            <w:tcBorders/>
          </w:tcPr>
          <w:p/>
        </w:tc>
        <w:tc>
          <w:tcPr>
            <w:tcW w:type="dxa" w:w="2523"/>
            <w:vMerge/>
            <w:tcBorders/>
          </w:tcPr>
          <w:p/>
        </w:tc>
      </w:tr>
      <w:tr>
        <w:trPr>
          <w:trHeight w:hRule="exact" w:val="638"/>
        </w:trPr>
        <w:tc>
          <w:tcPr>
            <w:tcW w:type="dxa" w:w="616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34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RESOLUÇÃO ARES-PCJ Nº 651 – 20/08/2025 </w:t>
            </w:r>
          </w:p>
        </w:tc>
        <w:tc>
          <w:tcPr>
            <w:tcW w:type="dxa" w:w="3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88" w:after="0"/>
              <w:ind w:left="0" w:right="50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 </w:t>
            </w:r>
          </w:p>
        </w:tc>
        <w:tc>
          <w:tcPr>
            <w:tcW w:type="dxa" w:w="2523"/>
            <w:vMerge/>
            <w:tcBorders/>
          </w:tcPr>
          <w:p/>
        </w:tc>
        <w:tc>
          <w:tcPr>
            <w:tcW w:type="dxa" w:w="2523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11" w:h="16841"/>
          <w:pgMar w:top="310" w:right="404" w:bottom="482" w:left="14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9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9790430</wp:posOffset>
            </wp:positionV>
            <wp:extent cx="7555230" cy="901548"/>
            <wp:wrapNone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5230" cy="90154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3574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2519680</wp:posOffset>
            </wp:positionH>
            <wp:positionV relativeFrom="page">
              <wp:posOffset>393700</wp:posOffset>
            </wp:positionV>
            <wp:extent cx="2518410" cy="539750"/>
            <wp:wrapNone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18410" cy="5397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94" w:lineRule="exact" w:before="206" w:after="0"/>
        <w:ind w:left="146" w:right="81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5º A matriz de riscos deve conter listagem de possíveis eventos supervenientes à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assinatura do contrato que possam causar impacto em seu equilíbrio econômico-financeiro,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deve ser compatível com as cláusulas de direitos e obrigações das partes. </w:t>
      </w:r>
    </w:p>
    <w:p>
      <w:pPr>
        <w:autoSpaceDN w:val="0"/>
        <w:autoSpaceDE w:val="0"/>
        <w:widowControl/>
        <w:spacing w:line="292" w:lineRule="exact" w:before="294" w:after="0"/>
        <w:ind w:left="146" w:right="72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1º A descrição dos riscos na matriz deve ser objetiva, exata, clara e suficiente para a sua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caracterização. </w:t>
      </w:r>
    </w:p>
    <w:p>
      <w:pPr>
        <w:autoSpaceDN w:val="0"/>
        <w:autoSpaceDE w:val="0"/>
        <w:widowControl/>
        <w:spacing w:line="294" w:lineRule="exact" w:before="292" w:after="286"/>
        <w:ind w:left="146" w:right="8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2º A matriz de riscos não deverá conter disposições que possam ser tratadas em outras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cláusulas contratuais, como sanções e penalidades, direitos e obrigações das partes e extinção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antecipada do contrato.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523"/>
        <w:gridCol w:w="2523"/>
        <w:gridCol w:w="2523"/>
        <w:gridCol w:w="2523"/>
      </w:tblGrid>
      <w:tr>
        <w:trPr>
          <w:trHeight w:hRule="exact" w:val="326"/>
        </w:trPr>
        <w:tc>
          <w:tcPr>
            <w:tcW w:type="dxa" w:w="946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Art. 6º Os riscos da prestação devem ser alocados de forma objetiva ao titular do serviço, ao </w:t>
            </w:r>
          </w:p>
        </w:tc>
        <w:tc>
          <w:tcPr>
            <w:tcW w:type="dxa" w:w="38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74" w:after="0"/>
              <w:ind w:left="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Assinado por 1 pessoa:  DALTO FAVERO BROCHI</w:t>
            </w:r>
          </w:p>
        </w:tc>
        <w:tc>
          <w:tcPr>
            <w:tcW w:type="dxa" w:w="2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Para verificar a validade das assinaturas, acesse https://stip-arespcj.1doc.com.br/verificacao/C5C1-CB1F-7652-0F71 e informe o código C5C1-CB1F-7652-0F71</w:t>
            </w:r>
          </w:p>
        </w:tc>
      </w:tr>
      <w:tr>
        <w:trPr>
          <w:trHeight w:hRule="exact" w:val="280"/>
        </w:trPr>
        <w:tc>
          <w:tcPr>
            <w:tcW w:type="dxa" w:w="946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prestador ou devem ser indicados como compartilhados, conforme definições expostas na </w:t>
            </w:r>
          </w:p>
        </w:tc>
        <w:tc>
          <w:tcPr>
            <w:tcW w:type="dxa" w:w="2523"/>
            <w:vMerge/>
            <w:tcBorders/>
          </w:tcPr>
          <w:p/>
        </w:tc>
        <w:tc>
          <w:tcPr>
            <w:tcW w:type="dxa" w:w="2523"/>
            <w:vMerge/>
            <w:tcBorders/>
          </w:tcPr>
          <w:p/>
        </w:tc>
      </w:tr>
      <w:tr>
        <w:trPr>
          <w:trHeight w:hRule="exact" w:val="480"/>
        </w:trPr>
        <w:tc>
          <w:tcPr>
            <w:tcW w:type="dxa" w:w="946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0" w:after="0"/>
              <w:ind w:left="14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Norma de Referência nº 5/2024 da ANA, evitando-se a alocação genérica e indistinta. </w:t>
            </w:r>
          </w:p>
        </w:tc>
        <w:tc>
          <w:tcPr>
            <w:tcW w:type="dxa" w:w="2523"/>
            <w:vMerge/>
            <w:tcBorders/>
          </w:tcPr>
          <w:p/>
        </w:tc>
        <w:tc>
          <w:tcPr>
            <w:tcW w:type="dxa" w:w="2523"/>
            <w:vMerge/>
            <w:tcBorders/>
          </w:tcPr>
          <w:p/>
        </w:tc>
      </w:tr>
      <w:tr>
        <w:trPr>
          <w:trHeight w:hRule="exact" w:val="480"/>
        </w:trPr>
        <w:tc>
          <w:tcPr>
            <w:tcW w:type="dxa" w:w="946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2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Art. 7º A parte sobre quem recai o risco será responsável por arcar com suas consequências </w:t>
            </w:r>
          </w:p>
        </w:tc>
        <w:tc>
          <w:tcPr>
            <w:tcW w:type="dxa" w:w="2523"/>
            <w:vMerge/>
            <w:tcBorders/>
          </w:tcPr>
          <w:p/>
        </w:tc>
        <w:tc>
          <w:tcPr>
            <w:tcW w:type="dxa" w:w="2523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46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2" w:after="0"/>
              <w:ind w:left="14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econômico-financeiras. </w:t>
            </w:r>
          </w:p>
        </w:tc>
        <w:tc>
          <w:tcPr>
            <w:tcW w:type="dxa" w:w="2523"/>
            <w:vMerge/>
            <w:tcBorders/>
          </w:tcPr>
          <w:p/>
        </w:tc>
        <w:tc>
          <w:tcPr>
            <w:tcW w:type="dxa" w:w="2523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46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8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Art. 8º Os riscos alocados ao titular do serviço e os compartilhados poderão ensejar pedidos </w:t>
            </w:r>
          </w:p>
        </w:tc>
        <w:tc>
          <w:tcPr>
            <w:tcW w:type="dxa" w:w="2523"/>
            <w:vMerge/>
            <w:tcBorders/>
          </w:tcPr>
          <w:p/>
        </w:tc>
        <w:tc>
          <w:tcPr>
            <w:tcW w:type="dxa" w:w="2523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46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reequilíbrio econômico-financeiro, desde que resultem, comprovadamente, em variação </w:t>
            </w:r>
          </w:p>
        </w:tc>
        <w:tc>
          <w:tcPr>
            <w:tcW w:type="dxa" w:w="2523"/>
            <w:vMerge/>
            <w:tcBorders/>
          </w:tcPr>
          <w:p/>
        </w:tc>
        <w:tc>
          <w:tcPr>
            <w:tcW w:type="dxa" w:w="2523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46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significativa dos custos, despesas, investimentos ou receitas do prestador de serviço, </w:t>
            </w:r>
          </w:p>
        </w:tc>
        <w:tc>
          <w:tcPr>
            <w:tcW w:type="dxa" w:w="2523"/>
            <w:vMerge/>
            <w:tcBorders/>
          </w:tcPr>
          <w:p/>
        </w:tc>
        <w:tc>
          <w:tcPr>
            <w:tcW w:type="dxa" w:w="2523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46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conforme análise conduzida pela entidade reguladora infranacional, devidamente motivada, </w:t>
            </w:r>
          </w:p>
        </w:tc>
        <w:tc>
          <w:tcPr>
            <w:tcW w:type="dxa" w:w="2523"/>
            <w:vMerge/>
            <w:tcBorders/>
          </w:tcPr>
          <w:p/>
        </w:tc>
        <w:tc>
          <w:tcPr>
            <w:tcW w:type="dxa" w:w="2523"/>
            <w:vMerge/>
            <w:tcBorders/>
          </w:tcPr>
          <w:p/>
        </w:tc>
      </w:tr>
      <w:tr>
        <w:trPr>
          <w:trHeight w:hRule="exact" w:val="580"/>
        </w:trPr>
        <w:tc>
          <w:tcPr>
            <w:tcW w:type="dxa" w:w="946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8" w:after="0"/>
              <w:ind w:left="14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justificada e conforme a repartição de riscos prevista na matriz anexa ao contrato. </w:t>
            </w:r>
          </w:p>
        </w:tc>
        <w:tc>
          <w:tcPr>
            <w:tcW w:type="dxa" w:w="2523"/>
            <w:vMerge/>
            <w:tcBorders/>
          </w:tcPr>
          <w:p/>
        </w:tc>
        <w:tc>
          <w:tcPr>
            <w:tcW w:type="dxa" w:w="2523"/>
            <w:vMerge/>
            <w:tcBorders/>
          </w:tcPr>
          <w:p/>
        </w:tc>
      </w:tr>
      <w:tr>
        <w:trPr>
          <w:trHeight w:hRule="exact" w:val="600"/>
        </w:trPr>
        <w:tc>
          <w:tcPr>
            <w:tcW w:type="dxa" w:w="946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3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Seção III </w:t>
            </w:r>
          </w:p>
        </w:tc>
        <w:tc>
          <w:tcPr>
            <w:tcW w:type="dxa" w:w="2523"/>
            <w:vMerge/>
            <w:tcBorders/>
          </w:tcPr>
          <w:p/>
        </w:tc>
        <w:tc>
          <w:tcPr>
            <w:tcW w:type="dxa" w:w="2523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46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Disposições Gerais </w:t>
            </w:r>
          </w:p>
        </w:tc>
        <w:tc>
          <w:tcPr>
            <w:tcW w:type="dxa" w:w="2523"/>
            <w:vMerge/>
            <w:tcBorders/>
          </w:tcPr>
          <w:p/>
        </w:tc>
        <w:tc>
          <w:tcPr>
            <w:tcW w:type="dxa" w:w="2523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46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Art. 9º As demais disposições sobre o tema contidas na Norma de Referência nº 5/2024 da </w:t>
            </w:r>
          </w:p>
        </w:tc>
        <w:tc>
          <w:tcPr>
            <w:tcW w:type="dxa" w:w="2523"/>
            <w:vMerge/>
            <w:tcBorders/>
          </w:tcPr>
          <w:p/>
        </w:tc>
        <w:tc>
          <w:tcPr>
            <w:tcW w:type="dxa" w:w="2523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46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0" w:after="0"/>
              <w:ind w:left="14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ANA complementam os comandos expostos no presente capítulo. </w:t>
            </w:r>
          </w:p>
        </w:tc>
        <w:tc>
          <w:tcPr>
            <w:tcW w:type="dxa" w:w="2523"/>
            <w:vMerge/>
            <w:tcBorders/>
          </w:tcPr>
          <w:p/>
        </w:tc>
        <w:tc>
          <w:tcPr>
            <w:tcW w:type="dxa" w:w="2523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46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Art. 10. Contratos de Concessão e PPP vigentes, podem, se houver concordância entre as </w:t>
            </w:r>
          </w:p>
        </w:tc>
        <w:tc>
          <w:tcPr>
            <w:tcW w:type="dxa" w:w="2523"/>
            <w:vMerge/>
            <w:tcBorders/>
          </w:tcPr>
          <w:p/>
        </w:tc>
        <w:tc>
          <w:tcPr>
            <w:tcW w:type="dxa" w:w="2523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46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partes, alterar ou incorporar determinações relacionadas à Matriz de Riscos contidas na </w:t>
            </w:r>
          </w:p>
        </w:tc>
        <w:tc>
          <w:tcPr>
            <w:tcW w:type="dxa" w:w="2523"/>
            <w:vMerge/>
            <w:tcBorders/>
          </w:tcPr>
          <w:p/>
        </w:tc>
        <w:tc>
          <w:tcPr>
            <w:tcW w:type="dxa" w:w="2523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46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Norma de Referência nº 5/2024, condicionadas à celebração de termo aditivo e respeitado o </w:t>
            </w:r>
          </w:p>
        </w:tc>
        <w:tc>
          <w:tcPr>
            <w:tcW w:type="dxa" w:w="2523"/>
            <w:vMerge/>
            <w:tcBorders/>
          </w:tcPr>
          <w:p/>
        </w:tc>
        <w:tc>
          <w:tcPr>
            <w:tcW w:type="dxa" w:w="2523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46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6" w:after="0"/>
              <w:ind w:left="14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equilíbrio econômico-financeiro do contrato. </w:t>
            </w:r>
          </w:p>
        </w:tc>
        <w:tc>
          <w:tcPr>
            <w:tcW w:type="dxa" w:w="2523"/>
            <w:vMerge/>
            <w:tcBorders/>
          </w:tcPr>
          <w:p/>
        </w:tc>
        <w:tc>
          <w:tcPr>
            <w:tcW w:type="dxa" w:w="2523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46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8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Art. 11. Contratos de Concessão e PPP licitados após a vigência desta norma, caso estejam em </w:t>
            </w:r>
          </w:p>
        </w:tc>
        <w:tc>
          <w:tcPr>
            <w:tcW w:type="dxa" w:w="2523"/>
            <w:vMerge/>
            <w:tcBorders/>
          </w:tcPr>
          <w:p/>
        </w:tc>
        <w:tc>
          <w:tcPr>
            <w:tcW w:type="dxa" w:w="2523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46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desacordo com as definições de riscos expostas na Norma de Referência nº 5/2024, da Agência </w:t>
            </w:r>
          </w:p>
        </w:tc>
        <w:tc>
          <w:tcPr>
            <w:tcW w:type="dxa" w:w="2523"/>
            <w:vMerge/>
            <w:tcBorders/>
          </w:tcPr>
          <w:p/>
        </w:tc>
        <w:tc>
          <w:tcPr>
            <w:tcW w:type="dxa" w:w="2523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46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Nacional de Águas e Saneamento Básico (ANA) e no Anexo I desta Resolução não poderão, por </w:t>
            </w:r>
          </w:p>
        </w:tc>
        <w:tc>
          <w:tcPr>
            <w:tcW w:type="dxa" w:w="2523"/>
            <w:vMerge/>
            <w:tcBorders/>
          </w:tcPr>
          <w:p/>
        </w:tc>
        <w:tc>
          <w:tcPr>
            <w:tcW w:type="dxa" w:w="2523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46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0" w:after="0"/>
              <w:ind w:left="14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este fator, ser objeto de reequilíbrio econômico-financeiro. </w:t>
            </w:r>
          </w:p>
        </w:tc>
        <w:tc>
          <w:tcPr>
            <w:tcW w:type="dxa" w:w="2523"/>
            <w:vMerge/>
            <w:tcBorders/>
          </w:tcPr>
          <w:p/>
        </w:tc>
        <w:tc>
          <w:tcPr>
            <w:tcW w:type="dxa" w:w="2523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46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8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Art. 12. Para a comprovação da adoção Norma de Referência nº 5/2024 da ANA, para além </w:t>
            </w:r>
          </w:p>
        </w:tc>
        <w:tc>
          <w:tcPr>
            <w:tcW w:type="dxa" w:w="2523"/>
            <w:vMerge/>
            <w:tcBorders/>
          </w:tcPr>
          <w:p/>
        </w:tc>
        <w:tc>
          <w:tcPr>
            <w:tcW w:type="dxa" w:w="2523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46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dos comandos expostos no presente capítulo, a ARES-PCJ deverá enviar à ANA relação dos </w:t>
            </w:r>
          </w:p>
        </w:tc>
        <w:tc>
          <w:tcPr>
            <w:tcW w:type="dxa" w:w="2523"/>
            <w:vMerge/>
            <w:tcBorders/>
          </w:tcPr>
          <w:p/>
        </w:tc>
        <w:tc>
          <w:tcPr>
            <w:tcW w:type="dxa" w:w="2523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46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contratos regulados que estejam em consonância com a Norma de Referência nº 5/2024 e </w:t>
            </w:r>
          </w:p>
        </w:tc>
        <w:tc>
          <w:tcPr>
            <w:tcW w:type="dxa" w:w="2523"/>
            <w:vMerge/>
            <w:tcBorders/>
          </w:tcPr>
          <w:p/>
        </w:tc>
        <w:tc>
          <w:tcPr>
            <w:tcW w:type="dxa" w:w="2523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46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com o disposto neste capítulo, ou que estejam de acordo com seus procedimentos de </w:t>
            </w:r>
          </w:p>
        </w:tc>
        <w:tc>
          <w:tcPr>
            <w:tcW w:type="dxa" w:w="2523"/>
            <w:vMerge/>
            <w:tcBorders/>
          </w:tcPr>
          <w:p/>
        </w:tc>
        <w:tc>
          <w:tcPr>
            <w:tcW w:type="dxa" w:w="2523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46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0" w:after="0"/>
              <w:ind w:left="14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alteração. </w:t>
            </w:r>
          </w:p>
        </w:tc>
        <w:tc>
          <w:tcPr>
            <w:tcW w:type="dxa" w:w="2523"/>
            <w:vMerge/>
            <w:tcBorders/>
          </w:tcPr>
          <w:p/>
        </w:tc>
        <w:tc>
          <w:tcPr>
            <w:tcW w:type="dxa" w:w="2523"/>
            <w:vMerge/>
            <w:tcBorders/>
          </w:tcPr>
          <w:p/>
        </w:tc>
      </w:tr>
      <w:tr>
        <w:trPr>
          <w:trHeight w:hRule="exact" w:val="458"/>
        </w:trPr>
        <w:tc>
          <w:tcPr>
            <w:tcW w:type="dxa" w:w="616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6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RESOLUÇÃO ARES-PCJ Nº 651 – 20/08/2025 </w:t>
            </w:r>
          </w:p>
        </w:tc>
        <w:tc>
          <w:tcPr>
            <w:tcW w:type="dxa" w:w="3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8" w:after="0"/>
              <w:ind w:left="0" w:right="50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 </w:t>
            </w:r>
          </w:p>
        </w:tc>
        <w:tc>
          <w:tcPr>
            <w:tcW w:type="dxa" w:w="2523"/>
            <w:vMerge/>
            <w:tcBorders/>
          </w:tcPr>
          <w:p/>
        </w:tc>
        <w:tc>
          <w:tcPr>
            <w:tcW w:type="dxa" w:w="2523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11" w:h="16841"/>
          <w:pgMar w:top="310" w:right="404" w:bottom="482" w:left="14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9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9790430</wp:posOffset>
            </wp:positionV>
            <wp:extent cx="7555230" cy="901548"/>
            <wp:wrapNone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5230" cy="90154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3574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2519680</wp:posOffset>
            </wp:positionH>
            <wp:positionV relativeFrom="page">
              <wp:posOffset>393700</wp:posOffset>
            </wp:positionV>
            <wp:extent cx="2518410" cy="539750"/>
            <wp:wrapNone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18410" cy="5397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94" w:lineRule="exact" w:before="208" w:after="0"/>
        <w:ind w:left="146" w:right="8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O prazo para o início da verificação da relação mencionada neste artigo é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24 meses, a contar da data de publicação da Norma de Referência nº 5/2024 (15 de janeiro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2024). </w:t>
      </w:r>
    </w:p>
    <w:p>
      <w:pPr>
        <w:autoSpaceDN w:val="0"/>
        <w:autoSpaceDE w:val="0"/>
        <w:widowControl/>
        <w:spacing w:line="240" w:lineRule="exact" w:before="346" w:after="0"/>
        <w:ind w:left="14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13. Esta Resolução entra em vigor na data da sua publicação. </w:t>
      </w:r>
    </w:p>
    <w:p>
      <w:pPr>
        <w:autoSpaceDN w:val="0"/>
        <w:autoSpaceDE w:val="0"/>
        <w:widowControl/>
        <w:spacing w:line="292" w:lineRule="exact" w:before="882" w:after="520"/>
        <w:ind w:left="3456" w:right="4176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DALTO FAVERO BROCHI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Diretor Geral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523"/>
        <w:gridCol w:w="2523"/>
        <w:gridCol w:w="2523"/>
        <w:gridCol w:w="2523"/>
      </w:tblGrid>
      <w:tr>
        <w:trPr>
          <w:trHeight w:hRule="exact" w:val="10728"/>
        </w:trPr>
        <w:tc>
          <w:tcPr>
            <w:tcW w:type="dxa" w:w="616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43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RESOLUÇÃO ARES-PCJ Nº 651 – 20/08/2025 </w:t>
            </w:r>
          </w:p>
        </w:tc>
        <w:tc>
          <w:tcPr>
            <w:tcW w:type="dxa" w:w="3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478" w:after="0"/>
              <w:ind w:left="0" w:right="34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 </w:t>
            </w:r>
          </w:p>
        </w:tc>
        <w:tc>
          <w:tcPr>
            <w:tcW w:type="dxa" w:w="540"/>
            <w:tcBorders/>
            <w:tcMar>
              <w:start w:w="0" w:type="dxa"/>
              <w:end w:w="0" w:type="dxa"/>
            </w:tcMar>
            <w:textDirection w:val="btLr"/>
          </w:tcPr>
          <w:p>
            <w:pPr>
              <w:autoSpaceDN w:val="0"/>
              <w:autoSpaceDE w:val="0"/>
              <w:widowControl/>
              <w:spacing w:line="206" w:lineRule="exact" w:before="334" w:after="0"/>
              <w:ind w:left="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Assinado por 1 pessoa:  DALTO FAVERO BROCHI</w:t>
            </w:r>
          </w:p>
        </w:tc>
        <w:tc>
          <w:tcPr>
            <w:tcW w:type="dxa" w:w="220"/>
            <w:tcBorders/>
            <w:tcMar>
              <w:start w:w="0" w:type="dxa"/>
              <w:end w:w="0" w:type="dxa"/>
            </w:tcMar>
            <w:textDirection w:val="btLr"/>
          </w:tcPr>
          <w:p>
            <w:pPr>
              <w:autoSpaceDN w:val="0"/>
              <w:autoSpaceDE w:val="0"/>
              <w:widowControl/>
              <w:spacing w:line="206" w:lineRule="exact" w:before="1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Para verificar a validade das assinaturas, acesse https://stip-arespcj.1doc.com.br/verificacao/C5C1-CB1F-7652-0F71 e informe o código C5C1-CB1F-7652-0F71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11" w:h="16841"/>
          <w:pgMar w:top="310" w:right="404" w:bottom="482" w:left="14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9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9790430</wp:posOffset>
            </wp:positionV>
            <wp:extent cx="7555230" cy="901548"/>
            <wp:wrapNone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5230" cy="90154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3574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2519680</wp:posOffset>
            </wp:positionH>
            <wp:positionV relativeFrom="page">
              <wp:posOffset>393700</wp:posOffset>
            </wp:positionV>
            <wp:extent cx="2518410" cy="539750"/>
            <wp:wrapNone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18410" cy="5397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80" w:lineRule="exact" w:before="268" w:after="0"/>
        <w:ind w:left="1244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RESOLUÇÃO ARES-PCJ Nº 651, DE 20 DE AGOSTO DE 2025 </w:t>
      </w:r>
    </w:p>
    <w:p>
      <w:pPr>
        <w:autoSpaceDN w:val="0"/>
        <w:autoSpaceDE w:val="0"/>
        <w:widowControl/>
        <w:spacing w:line="292" w:lineRule="exact" w:before="330" w:after="634"/>
        <w:ind w:left="2880" w:right="3888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ANEXO 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MODELO DE MATRIZ DE RISCOS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523"/>
        <w:gridCol w:w="2523"/>
        <w:gridCol w:w="2523"/>
        <w:gridCol w:w="2523"/>
      </w:tblGrid>
      <w:tr>
        <w:trPr>
          <w:trHeight w:hRule="exact" w:val="11774"/>
        </w:trPr>
        <w:tc>
          <w:tcPr>
            <w:tcW w:type="dxa" w:w="880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8.000000000000114" w:type="dxa"/>
            </w:tblPr>
            <w:tblGrid>
              <w:gridCol w:w="1761"/>
              <w:gridCol w:w="1761"/>
              <w:gridCol w:w="1761"/>
              <w:gridCol w:w="1761"/>
              <w:gridCol w:w="1761"/>
            </w:tblGrid>
            <w:tr>
              <w:trPr>
                <w:trHeight w:hRule="exact" w:val="302"/>
              </w:trPr>
              <w:tc>
                <w:tcPr>
                  <w:tcW w:type="dxa" w:w="2404"/>
                  <w:vMerge w:val="restart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182" w:after="0"/>
                    <w:ind w:left="106" w:right="0" w:firstLine="0"/>
                    <w:jc w:val="left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TIPO </w:t>
                  </w:r>
                </w:p>
              </w:tc>
              <w:tc>
                <w:tcPr>
                  <w:tcW w:type="dxa" w:w="566"/>
                  <w:vMerge w:val="restart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18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Nº </w:t>
                  </w:r>
                </w:p>
              </w:tc>
              <w:tc>
                <w:tcPr>
                  <w:tcW w:type="dxa" w:w="3264"/>
                  <w:vMerge w:val="restart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182" w:after="0"/>
                    <w:ind w:left="110" w:right="0" w:firstLine="0"/>
                    <w:jc w:val="left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DESCRIÇÃO DO RISCO </w:t>
                  </w:r>
                </w:p>
              </w:tc>
              <w:tc>
                <w:tcPr>
                  <w:tcW w:type="dxa" w:w="2550"/>
                  <w:gridSpan w:val="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2000000000000455" w:val="single" w:color="#000000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22" w:after="0"/>
                    <w:ind w:left="0" w:right="610" w:firstLine="0"/>
                    <w:jc w:val="right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ALOCAÇÃO </w:t>
                  </w:r>
                </w:p>
              </w:tc>
            </w:tr>
            <w:tr>
              <w:trPr>
                <w:trHeight w:hRule="exact" w:val="302"/>
              </w:trPr>
              <w:tc>
                <w:tcPr>
                  <w:tcW w:type="dxa" w:w="1761"/>
                  <w:vMerge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</w:tcPr>
                <w:p/>
              </w:tc>
              <w:tc>
                <w:tcPr>
                  <w:tcW w:type="dxa" w:w="1761"/>
                  <w:vMerge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</w:tcPr>
                <w:p/>
              </w:tc>
              <w:tc>
                <w:tcPr>
                  <w:tcW w:type="dxa" w:w="1761"/>
                  <w:vMerge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</w:tcPr>
                <w:p/>
              </w:tc>
              <w:tc>
                <w:tcPr>
                  <w:tcW w:type="dxa" w:w="1128"/>
                  <w:tcBorders>
                    <w:start w:sz="4.0" w:val="single" w:color="#000000"/>
                    <w:top w:sz="3.2000000000000455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2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TITULAR </w:t>
                  </w:r>
                </w:p>
              </w:tc>
              <w:tc>
                <w:tcPr>
                  <w:tcW w:type="dxa" w:w="1422"/>
                  <w:tcBorders>
                    <w:start w:sz="4.0" w:val="single" w:color="#000000"/>
                    <w:top w:sz="3.2000000000000455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2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PRESTADOR </w:t>
                  </w:r>
                </w:p>
              </w:tc>
            </w:tr>
            <w:tr>
              <w:trPr>
                <w:trHeight w:hRule="exact" w:val="2356"/>
              </w:trPr>
              <w:tc>
                <w:tcPr>
                  <w:tcW w:type="dxa" w:w="2404"/>
                  <w:vMerge w:val="restart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200000000000273" w:val="single" w:color="#000000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94" w:lineRule="exact" w:before="2182" w:after="0"/>
                    <w:ind w:left="106" w:right="144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RISCOS </w:t>
                  </w:r>
                  <w:r>
                    <w:br/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GOVERNAMENTAIS /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ADMINISTRATIVOS </w:t>
                  </w:r>
                </w:p>
              </w:tc>
              <w:tc>
                <w:tcPr>
                  <w:tcW w:type="dxa" w:w="56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1054" w:after="0"/>
                    <w:ind w:left="108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 </w:t>
                  </w:r>
                </w:p>
              </w:tc>
              <w:tc>
                <w:tcPr>
                  <w:tcW w:type="dxa" w:w="326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tabs>
                      <w:tab w:pos="1820" w:val="left"/>
                      <w:tab w:pos="2520" w:val="left"/>
                    </w:tabs>
                    <w:autoSpaceDE w:val="0"/>
                    <w:widowControl/>
                    <w:spacing w:line="240" w:lineRule="exact" w:before="30" w:after="0"/>
                    <w:ind w:left="110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Inobservância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dos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prazos </w:t>
                  </w:r>
                </w:p>
                <w:p>
                  <w:pPr>
                    <w:autoSpaceDN w:val="0"/>
                    <w:tabs>
                      <w:tab w:pos="1368" w:val="left"/>
                      <w:tab w:pos="2180" w:val="left"/>
                    </w:tabs>
                    <w:autoSpaceDE w:val="0"/>
                    <w:widowControl/>
                    <w:spacing w:line="242" w:lineRule="exact" w:before="52" w:after="0"/>
                    <w:ind w:left="110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previstos </w:t>
                  </w:r>
                  <w:r>
                    <w:tab/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para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obtenção, </w:t>
                  </w:r>
                </w:p>
                <w:p>
                  <w:pPr>
                    <w:autoSpaceDN w:val="0"/>
                    <w:tabs>
                      <w:tab w:pos="1612" w:val="left"/>
                      <w:tab w:pos="2336" w:val="left"/>
                    </w:tabs>
                    <w:autoSpaceDE w:val="0"/>
                    <w:widowControl/>
                    <w:spacing w:line="240" w:lineRule="exact" w:before="52" w:after="0"/>
                    <w:ind w:left="110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renovação </w:t>
                  </w:r>
                  <w:r>
                    <w:tab/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licenças, </w:t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exact" w:before="5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autorizações ou quaisquer atos </w:t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exact" w:before="5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públicos de liberação, por parte </w:t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exact" w:before="5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do órgão ou entidade pública </w:t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exact" w:before="5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>responsável pela emissão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do </w:t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exact" w:before="42" w:after="0"/>
                    <w:ind w:left="110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ato. </w:t>
                  </w:r>
                </w:p>
              </w:tc>
              <w:tc>
                <w:tcPr>
                  <w:tcW w:type="dxa" w:w="112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1054" w:after="0"/>
                    <w:ind w:left="108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X </w:t>
                  </w:r>
                </w:p>
              </w:tc>
              <w:tc>
                <w:tcPr>
                  <w:tcW w:type="dxa" w:w="142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  <w:tr>
              <w:trPr>
                <w:trHeight w:hRule="exact" w:val="2940"/>
              </w:trPr>
              <w:tc>
                <w:tcPr>
                  <w:tcW w:type="dxa" w:w="1761"/>
                  <w:vMerge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200000000000273" w:val="single" w:color="#000000"/>
                  </w:tcBorders>
                </w:tcPr>
                <w:p/>
              </w:tc>
              <w:tc>
                <w:tcPr>
                  <w:tcW w:type="dxa" w:w="56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1346" w:after="0"/>
                    <w:ind w:left="108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 </w:t>
                  </w:r>
                </w:p>
              </w:tc>
              <w:tc>
                <w:tcPr>
                  <w:tcW w:type="dxa" w:w="326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tabs>
                      <w:tab w:pos="1034" w:val="left"/>
                      <w:tab w:pos="1560" w:val="left"/>
                      <w:tab w:pos="2824" w:val="left"/>
                    </w:tabs>
                    <w:autoSpaceDE w:val="0"/>
                    <w:widowControl/>
                    <w:spacing w:line="240" w:lineRule="exact" w:before="28" w:after="0"/>
                    <w:ind w:left="110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Atraso </w:t>
                  </w:r>
                  <w:r>
                    <w:tab/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na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realização </w:t>
                  </w:r>
                  <w:r>
                    <w:tab/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das </w:t>
                  </w:r>
                </w:p>
                <w:p>
                  <w:pPr>
                    <w:autoSpaceDN w:val="0"/>
                    <w:tabs>
                      <w:tab w:pos="2174" w:val="left"/>
                    </w:tabs>
                    <w:autoSpaceDE w:val="0"/>
                    <w:widowControl/>
                    <w:spacing w:line="240" w:lineRule="exact" w:before="54" w:after="0"/>
                    <w:ind w:left="110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desapropriações, </w:t>
                  </w:r>
                  <w:r>
                    <w:tab/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servidões, </w:t>
                  </w:r>
                </w:p>
                <w:p>
                  <w:pPr>
                    <w:autoSpaceDN w:val="0"/>
                    <w:tabs>
                      <w:tab w:pos="1606" w:val="left"/>
                    </w:tabs>
                    <w:autoSpaceDE w:val="0"/>
                    <w:widowControl/>
                    <w:spacing w:line="240" w:lineRule="exact" w:before="52" w:after="0"/>
                    <w:ind w:left="110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limitações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administrativas, </w:t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exact" w:before="5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parcelamento e regularização </w:t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exact" w:before="5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registro dos imóveis, ou </w:t>
                  </w:r>
                </w:p>
                <w:p>
                  <w:pPr>
                    <w:autoSpaceDN w:val="0"/>
                    <w:autoSpaceDE w:val="0"/>
                    <w:widowControl/>
                    <w:spacing w:line="242" w:lineRule="exact" w:before="5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ainda, de autorizações para </w:t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exact" w:before="5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ocupação temporária dos bens </w:t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exact" w:before="5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necessários à prestação dos </w:t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exact" w:before="5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serviços, imputado ao titular do </w:t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exact" w:before="42" w:after="0"/>
                    <w:ind w:left="110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serviço. </w:t>
                  </w:r>
                </w:p>
              </w:tc>
              <w:tc>
                <w:tcPr>
                  <w:tcW w:type="dxa" w:w="112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1346" w:after="0"/>
                    <w:ind w:left="108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X </w:t>
                  </w:r>
                </w:p>
              </w:tc>
              <w:tc>
                <w:tcPr>
                  <w:tcW w:type="dxa" w:w="142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  <w:tr>
              <w:trPr>
                <w:trHeight w:hRule="exact" w:val="2352"/>
              </w:trPr>
              <w:tc>
                <w:tcPr>
                  <w:tcW w:type="dxa" w:w="2404"/>
                  <w:vMerge w:val="restart"/>
                  <w:tcBorders>
                    <w:start w:sz="4.0" w:val="single" w:color="#000000"/>
                    <w:top w:sz="3.200000000000273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94" w:lineRule="exact" w:before="2472" w:after="0"/>
                    <w:ind w:left="106" w:right="72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RISCOS </w:t>
                  </w:r>
                  <w:r>
                    <w:br/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PATRIMONIAIS </w:t>
                  </w:r>
                </w:p>
              </w:tc>
              <w:tc>
                <w:tcPr>
                  <w:tcW w:type="dxa" w:w="566"/>
                  <w:tcBorders>
                    <w:start w:sz="4.0" w:val="single" w:color="#000000"/>
                    <w:top w:sz="3.200000000000273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1056" w:after="0"/>
                    <w:ind w:left="108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3 </w:t>
                  </w:r>
                </w:p>
              </w:tc>
              <w:tc>
                <w:tcPr>
                  <w:tcW w:type="dxa" w:w="3264"/>
                  <w:tcBorders>
                    <w:start w:sz="4.0" w:val="single" w:color="#000000"/>
                    <w:top w:sz="3.200000000000273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51.999999999999886" w:type="dxa"/>
                  </w:tblPr>
                  <w:tblGrid>
                    <w:gridCol w:w="816"/>
                    <w:gridCol w:w="816"/>
                    <w:gridCol w:w="816"/>
                    <w:gridCol w:w="816"/>
                  </w:tblGrid>
                  <w:tr>
                    <w:trPr>
                      <w:trHeight w:hRule="exact" w:val="284"/>
                    </w:trPr>
                    <w:tc>
                      <w:tcPr>
                        <w:tcW w:type="dxa" w:w="80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2" w:lineRule="exact" w:before="16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Calibri" w:hAnsi="Calibri" w:eastAsia="Calibri"/>
                            <w:b w:val="0"/>
                            <w:i w:val="0"/>
                            <w:color w:val="000000"/>
                            <w:sz w:val="24"/>
                          </w:rPr>
                          <w:t xml:space="preserve">Vícios </w:t>
                        </w:r>
                      </w:p>
                    </w:tc>
                    <w:tc>
                      <w:tcPr>
                        <w:tcW w:type="dxa" w:w="104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2" w:lineRule="exact" w:before="16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Calibri" w:hAnsi="Calibri" w:eastAsia="Calibri"/>
                            <w:b w:val="0"/>
                            <w:i w:val="0"/>
                            <w:color w:val="000000"/>
                            <w:sz w:val="24"/>
                          </w:rPr>
                          <w:t xml:space="preserve">ocultos </w:t>
                        </w:r>
                      </w:p>
                    </w:tc>
                    <w:tc>
                      <w:tcPr>
                        <w:tcW w:type="dxa" w:w="66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2" w:lineRule="exact" w:before="16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Calibri" w:hAnsi="Calibri" w:eastAsia="Calibri"/>
                            <w:b w:val="0"/>
                            <w:i w:val="0"/>
                            <w:color w:val="000000"/>
                            <w:sz w:val="24"/>
                          </w:rPr>
                          <w:t xml:space="preserve">nos </w:t>
                        </w:r>
                      </w:p>
                    </w:tc>
                    <w:tc>
                      <w:tcPr>
                        <w:tcW w:type="dxa" w:w="68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2" w:lineRule="exact" w:before="16" w:after="0"/>
                          <w:ind w:left="144" w:right="0" w:firstLine="0"/>
                          <w:jc w:val="left"/>
                        </w:pPr>
                        <w:r>
                          <w:rPr>
                            <w:rFonts w:ascii="Calibri" w:hAnsi="Calibri" w:eastAsia="Calibri"/>
                            <w:b w:val="0"/>
                            <w:i w:val="0"/>
                            <w:color w:val="000000"/>
                            <w:sz w:val="24"/>
                          </w:rPr>
                          <w:t xml:space="preserve">bens 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240" w:lineRule="exact" w:before="2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reversíveis, já existentes ou </w:t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exact" w:before="5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originados em data anterior à </w:t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exact" w:before="54" w:after="26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assinatura do termo de entrega 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51.999999999999886" w:type="dxa"/>
                  </w:tblPr>
                  <w:tblGrid>
                    <w:gridCol w:w="1088"/>
                    <w:gridCol w:w="1088"/>
                    <w:gridCol w:w="1088"/>
                  </w:tblGrid>
                  <w:tr>
                    <w:trPr>
                      <w:trHeight w:hRule="exact" w:val="294"/>
                    </w:trPr>
                    <w:tc>
                      <w:tcPr>
                        <w:tcW w:type="dxa" w:w="64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2" w:lineRule="exact" w:before="26" w:after="0"/>
                          <w:ind w:left="58" w:right="0" w:firstLine="0"/>
                          <w:jc w:val="left"/>
                        </w:pPr>
                        <w:r>
                          <w:rPr>
                            <w:rFonts w:ascii="Calibri" w:hAnsi="Calibri" w:eastAsia="Calibri"/>
                            <w:b w:val="0"/>
                            <w:i w:val="0"/>
                            <w:color w:val="000000"/>
                            <w:sz w:val="24"/>
                          </w:rPr>
                          <w:t xml:space="preserve">do </w:t>
                        </w:r>
                      </w:p>
                    </w:tc>
                    <w:tc>
                      <w:tcPr>
                        <w:tcW w:type="dxa" w:w="166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2" w:lineRule="exact" w:before="26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Calibri" w:hAnsi="Calibri" w:eastAsia="Calibri"/>
                            <w:b w:val="0"/>
                            <w:i w:val="0"/>
                            <w:color w:val="000000"/>
                            <w:sz w:val="24"/>
                          </w:rPr>
                          <w:t xml:space="preserve">respectivo </w:t>
                        </w:r>
                      </w:p>
                    </w:tc>
                    <w:tc>
                      <w:tcPr>
                        <w:tcW w:type="dxa" w:w="86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2" w:lineRule="exact" w:before="26" w:after="0"/>
                          <w:ind w:left="0" w:right="22" w:firstLine="0"/>
                          <w:jc w:val="right"/>
                        </w:pPr>
                        <w:r>
                          <w:rPr>
                            <w:rFonts w:ascii="Calibri" w:hAnsi="Calibri" w:eastAsia="Calibri"/>
                            <w:b w:val="0"/>
                            <w:i w:val="0"/>
                            <w:color w:val="000000"/>
                            <w:sz w:val="24"/>
                          </w:rPr>
                          <w:t xml:space="preserve">bem, 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240" w:lineRule="exact" w:before="2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identificados em até 12 meses, </w:t>
                  </w:r>
                </w:p>
                <w:p>
                  <w:pPr>
                    <w:autoSpaceDN w:val="0"/>
                    <w:autoSpaceDE w:val="0"/>
                    <w:widowControl/>
                    <w:spacing w:line="284" w:lineRule="exact" w:before="8" w:after="0"/>
                    <w:ind w:left="110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após a efetiva transmissão da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responsabilidade. </w:t>
                  </w:r>
                </w:p>
              </w:tc>
              <w:tc>
                <w:tcPr>
                  <w:tcW w:type="dxa" w:w="1128"/>
                  <w:tcBorders>
                    <w:start w:sz="4.0" w:val="single" w:color="#000000"/>
                    <w:top w:sz="3.200000000000273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1056" w:after="0"/>
                    <w:ind w:left="108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X </w:t>
                  </w:r>
                </w:p>
              </w:tc>
              <w:tc>
                <w:tcPr>
                  <w:tcW w:type="dxa" w:w="1422"/>
                  <w:tcBorders>
                    <w:start w:sz="4.0" w:val="single" w:color="#000000"/>
                    <w:top w:sz="3.200000000000273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  <w:tr>
              <w:trPr>
                <w:trHeight w:hRule="exact" w:val="3214"/>
              </w:trPr>
              <w:tc>
                <w:tcPr>
                  <w:tcW w:type="dxa" w:w="1761"/>
                  <w:vMerge/>
                  <w:tcBorders>
                    <w:start w:sz="4.0" w:val="single" w:color="#000000"/>
                    <w:top w:sz="3.200000000000273" w:val="single" w:color="#000000"/>
                    <w:end w:sz="4.0" w:val="single" w:color="#000000"/>
                    <w:bottom w:sz="4.0" w:val="single" w:color="#000000"/>
                  </w:tcBorders>
                </w:tcPr>
                <w:p/>
              </w:tc>
              <w:tc>
                <w:tcPr>
                  <w:tcW w:type="dxa" w:w="56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1496" w:after="0"/>
                    <w:ind w:left="108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4 </w:t>
                  </w:r>
                </w:p>
              </w:tc>
              <w:tc>
                <w:tcPr>
                  <w:tcW w:type="dxa" w:w="326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tabs>
                      <w:tab w:pos="1108" w:val="left"/>
                      <w:tab w:pos="2808" w:val="left"/>
                      <w:tab w:pos="2908" w:val="left"/>
                    </w:tabs>
                    <w:autoSpaceDE w:val="0"/>
                    <w:widowControl/>
                    <w:spacing w:line="290" w:lineRule="exact" w:before="0" w:after="28"/>
                    <w:ind w:left="110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Atraso, imputado ao prestador,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na </w:t>
                  </w:r>
                  <w:r>
                    <w:tab/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condução </w:t>
                  </w:r>
                  <w:r>
                    <w:tab/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dos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procedimentos </w:t>
                  </w:r>
                  <w:r>
                    <w:tab/>
                  </w:r>
                  <w:r>
                    <w:tab/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desapropriação, nos termos do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contrato, após a publicação dos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respectivos decretos, referente 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51.999999999999886" w:type="dxa"/>
                  </w:tblPr>
                  <w:tblGrid>
                    <w:gridCol w:w="816"/>
                    <w:gridCol w:w="816"/>
                    <w:gridCol w:w="816"/>
                    <w:gridCol w:w="816"/>
                  </w:tblGrid>
                  <w:tr>
                    <w:trPr>
                      <w:trHeight w:hRule="exact" w:val="292"/>
                    </w:trPr>
                    <w:tc>
                      <w:tcPr>
                        <w:tcW w:type="dxa" w:w="46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exact" w:before="26" w:after="0"/>
                          <w:ind w:left="58" w:right="0" w:firstLine="0"/>
                          <w:jc w:val="left"/>
                        </w:pPr>
                        <w:r>
                          <w:rPr>
                            <w:rFonts w:ascii="Calibri" w:hAnsi="Calibri" w:eastAsia="Calibri"/>
                            <w:b w:val="0"/>
                            <w:i w:val="0"/>
                            <w:color w:val="000000"/>
                            <w:sz w:val="24"/>
                          </w:rPr>
                          <w:t xml:space="preserve">às </w:t>
                        </w:r>
                      </w:p>
                    </w:tc>
                    <w:tc>
                      <w:tcPr>
                        <w:tcW w:type="dxa" w:w="90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exact" w:before="26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Calibri" w:hAnsi="Calibri" w:eastAsia="Calibri"/>
                            <w:b w:val="0"/>
                            <w:i w:val="0"/>
                            <w:color w:val="000000"/>
                            <w:sz w:val="24"/>
                          </w:rPr>
                          <w:t xml:space="preserve">áreas </w:t>
                        </w:r>
                      </w:p>
                    </w:tc>
                    <w:tc>
                      <w:tcPr>
                        <w:tcW w:type="dxa" w:w="148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exact" w:before="26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Calibri" w:hAnsi="Calibri" w:eastAsia="Calibri"/>
                            <w:b w:val="0"/>
                            <w:i w:val="0"/>
                            <w:color w:val="000000"/>
                            <w:sz w:val="24"/>
                          </w:rPr>
                          <w:t xml:space="preserve">necessárias </w:t>
                        </w:r>
                      </w:p>
                    </w:tc>
                    <w:tc>
                      <w:tcPr>
                        <w:tcW w:type="dxa" w:w="34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exact" w:before="26" w:after="0"/>
                          <w:ind w:left="0" w:right="18" w:firstLine="0"/>
                          <w:jc w:val="right"/>
                        </w:pPr>
                        <w:r>
                          <w:rPr>
                            <w:rFonts w:ascii="Calibri" w:hAnsi="Calibri" w:eastAsia="Calibri"/>
                            <w:b w:val="0"/>
                            <w:i w:val="0"/>
                            <w:color w:val="000000"/>
                            <w:sz w:val="24"/>
                          </w:rPr>
                          <w:t xml:space="preserve">à 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284" w:lineRule="exact" w:before="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prestação dos serviços que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tenham sido disponibilizadas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livres e desembaraçadas pelo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titular do serviço ao prestador. </w:t>
                  </w:r>
                </w:p>
              </w:tc>
              <w:tc>
                <w:tcPr>
                  <w:tcW w:type="dxa" w:w="112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42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1496" w:after="0"/>
                    <w:ind w:left="106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X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5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042" w:after="0"/>
              <w:ind w:left="1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 </w:t>
            </w:r>
          </w:p>
        </w:tc>
        <w:tc>
          <w:tcPr>
            <w:tcW w:type="dxa" w:w="54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334" w:after="0"/>
              <w:ind w:left="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Assinado por 1 pessoa:  DALTO FAVERO BROCHI</w:t>
            </w:r>
          </w:p>
        </w:tc>
        <w:tc>
          <w:tcPr>
            <w:tcW w:type="dxa" w:w="2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Para verificar a validade das assinaturas, acesse https://stip-arespcj.1doc.com.br/verificacao/C5C1-CB1F-7652-0F71 e informe o código C5C1-CB1F-7652-0F71</w:t>
            </w:r>
          </w:p>
        </w:tc>
      </w:tr>
      <w:tr>
        <w:trPr>
          <w:trHeight w:hRule="exact" w:val="518"/>
        </w:trPr>
        <w:tc>
          <w:tcPr>
            <w:tcW w:type="dxa" w:w="880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2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RESOLUÇÃO ARES-PCJ Nº 651 – 20/08/2025 </w:t>
            </w:r>
          </w:p>
        </w:tc>
        <w:tc>
          <w:tcPr>
            <w:tcW w:type="dxa" w:w="2523"/>
            <w:vMerge/>
            <w:tcBorders/>
          </w:tcPr>
          <w:p/>
        </w:tc>
        <w:tc>
          <w:tcPr>
            <w:tcW w:type="dxa" w:w="2523"/>
            <w:vMerge/>
            <w:tcBorders/>
          </w:tcPr>
          <w:p/>
        </w:tc>
        <w:tc>
          <w:tcPr>
            <w:tcW w:type="dxa" w:w="2523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11" w:h="16841"/>
          <w:pgMar w:top="310" w:right="404" w:bottom="482" w:left="14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9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9790430</wp:posOffset>
            </wp:positionV>
            <wp:extent cx="7555230" cy="901548"/>
            <wp:wrapNone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5230" cy="90154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170"/>
        <w:ind w:left="0" w:right="3574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2519680</wp:posOffset>
            </wp:positionH>
            <wp:positionV relativeFrom="page">
              <wp:posOffset>393700</wp:posOffset>
            </wp:positionV>
            <wp:extent cx="2518410" cy="539750"/>
            <wp:wrapNone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18410" cy="53975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523"/>
        <w:gridCol w:w="2523"/>
        <w:gridCol w:w="2523"/>
        <w:gridCol w:w="2523"/>
      </w:tblGrid>
      <w:tr>
        <w:trPr>
          <w:trHeight w:hRule="exact" w:val="13760"/>
        </w:trPr>
        <w:tc>
          <w:tcPr>
            <w:tcW w:type="dxa" w:w="880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8.000000000000114" w:type="dxa"/>
            </w:tblPr>
            <w:tblGrid>
              <w:gridCol w:w="1761"/>
              <w:gridCol w:w="1761"/>
              <w:gridCol w:w="1761"/>
              <w:gridCol w:w="1761"/>
              <w:gridCol w:w="1761"/>
            </w:tblGrid>
            <w:tr>
              <w:trPr>
                <w:trHeight w:hRule="exact" w:val="2352"/>
              </w:trPr>
              <w:tc>
                <w:tcPr>
                  <w:tcW w:type="dxa" w:w="240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6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1056" w:after="0"/>
                    <w:ind w:left="108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5 </w:t>
                  </w:r>
                </w:p>
              </w:tc>
              <w:tc>
                <w:tcPr>
                  <w:tcW w:type="dxa" w:w="326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51.999999999999886" w:type="dxa"/>
                  </w:tblPr>
                  <w:tblGrid>
                    <w:gridCol w:w="816"/>
                    <w:gridCol w:w="816"/>
                    <w:gridCol w:w="816"/>
                    <w:gridCol w:w="816"/>
                  </w:tblGrid>
                  <w:tr>
                    <w:trPr>
                      <w:trHeight w:hRule="exact" w:val="284"/>
                    </w:trPr>
                    <w:tc>
                      <w:tcPr>
                        <w:tcW w:type="dxa" w:w="94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exact" w:before="18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Calibri" w:hAnsi="Calibri" w:eastAsia="Calibri"/>
                            <w:b w:val="0"/>
                            <w:i w:val="0"/>
                            <w:color w:val="000000"/>
                            <w:sz w:val="24"/>
                          </w:rPr>
                          <w:t xml:space="preserve">Roubo, </w:t>
                        </w:r>
                      </w:p>
                    </w:tc>
                    <w:tc>
                      <w:tcPr>
                        <w:tcW w:type="dxa" w:w="88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exact" w:before="18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Calibri" w:hAnsi="Calibri" w:eastAsia="Calibri"/>
                            <w:b w:val="0"/>
                            <w:i w:val="0"/>
                            <w:color w:val="000000"/>
                            <w:sz w:val="24"/>
                          </w:rPr>
                          <w:t xml:space="preserve">furto, </w:t>
                        </w:r>
                      </w:p>
                    </w:tc>
                    <w:tc>
                      <w:tcPr>
                        <w:tcW w:type="dxa" w:w="88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exact" w:before="18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Calibri" w:hAnsi="Calibri" w:eastAsia="Calibri"/>
                            <w:b w:val="0"/>
                            <w:i w:val="0"/>
                            <w:color w:val="000000"/>
                            <w:sz w:val="24"/>
                          </w:rPr>
                          <w:t xml:space="preserve">perda </w:t>
                        </w:r>
                      </w:p>
                    </w:tc>
                    <w:tc>
                      <w:tcPr>
                        <w:tcW w:type="dxa" w:w="48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exact" w:before="18" w:after="0"/>
                          <w:ind w:left="0" w:right="20" w:firstLine="0"/>
                          <w:jc w:val="right"/>
                        </w:pPr>
                        <w:r>
                          <w:rPr>
                            <w:rFonts w:ascii="Calibri" w:hAnsi="Calibri" w:eastAsia="Calibri"/>
                            <w:b w:val="0"/>
                            <w:i w:val="0"/>
                            <w:color w:val="000000"/>
                            <w:sz w:val="24"/>
                          </w:rPr>
                          <w:t xml:space="preserve">ou 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242" w:lineRule="exact" w:before="2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qualquer tipo de dano causado </w:t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exact" w:before="52" w:after="26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aos bens vinculados, enquanto 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51.999999999999886" w:type="dxa"/>
                  </w:tblPr>
                  <w:tblGrid>
                    <w:gridCol w:w="816"/>
                    <w:gridCol w:w="816"/>
                    <w:gridCol w:w="816"/>
                    <w:gridCol w:w="816"/>
                  </w:tblGrid>
                  <w:tr>
                    <w:trPr>
                      <w:trHeight w:hRule="exact" w:val="286"/>
                    </w:trPr>
                    <w:tc>
                      <w:tcPr>
                        <w:tcW w:type="dxa" w:w="110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exact" w:before="26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Calibri" w:hAnsi="Calibri" w:eastAsia="Calibri"/>
                            <w:b w:val="0"/>
                            <w:i w:val="0"/>
                            <w:color w:val="000000"/>
                            <w:sz w:val="24"/>
                          </w:rPr>
                          <w:t xml:space="preserve">estiverem </w:t>
                        </w:r>
                      </w:p>
                    </w:tc>
                    <w:tc>
                      <w:tcPr>
                        <w:tcW w:type="dxa" w:w="340"/>
                        <w:vMerge w:val="restart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exact" w:before="320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Calibri" w:hAnsi="Calibri" w:eastAsia="Calibri"/>
                            <w:b w:val="0"/>
                            <w:i w:val="0"/>
                            <w:color w:val="000000"/>
                            <w:sz w:val="24"/>
                          </w:rPr>
                          <w:t xml:space="preserve">ou </w:t>
                        </w:r>
                      </w:p>
                    </w:tc>
                    <w:tc>
                      <w:tcPr>
                        <w:tcW w:type="dxa" w:w="92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exact" w:before="26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Calibri" w:hAnsi="Calibri" w:eastAsia="Calibri"/>
                            <w:b w:val="0"/>
                            <w:i w:val="0"/>
                            <w:color w:val="000000"/>
                            <w:sz w:val="24"/>
                          </w:rPr>
                          <w:t xml:space="preserve">afetados </w:t>
                        </w:r>
                      </w:p>
                    </w:tc>
                    <w:tc>
                      <w:tcPr>
                        <w:tcW w:type="dxa" w:w="82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exact" w:before="26" w:after="0"/>
                          <w:ind w:left="0" w:right="20" w:firstLine="0"/>
                          <w:jc w:val="right"/>
                        </w:pPr>
                        <w:r>
                          <w:rPr>
                            <w:rFonts w:ascii="Calibri" w:hAnsi="Calibri" w:eastAsia="Calibri"/>
                            <w:b w:val="0"/>
                            <w:i w:val="0"/>
                            <w:color w:val="000000"/>
                            <w:sz w:val="24"/>
                          </w:rPr>
                          <w:t xml:space="preserve">aos </w:t>
                        </w:r>
                      </w:p>
                    </w:tc>
                  </w:tr>
                  <w:tr>
                    <w:trPr>
                      <w:trHeight w:hRule="exact" w:val="302"/>
                    </w:trPr>
                    <w:tc>
                      <w:tcPr>
                        <w:tcW w:type="dxa" w:w="110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exact" w:before="34" w:after="0"/>
                          <w:ind w:left="58" w:right="0" w:firstLine="0"/>
                          <w:jc w:val="left"/>
                        </w:pPr>
                        <w:r>
                          <w:rPr>
                            <w:rFonts w:ascii="Calibri" w:hAnsi="Calibri" w:eastAsia="Calibri"/>
                            <w:b w:val="0"/>
                            <w:i w:val="0"/>
                            <w:color w:val="000000"/>
                            <w:sz w:val="24"/>
                          </w:rPr>
                          <w:t xml:space="preserve">serviços </w:t>
                        </w:r>
                      </w:p>
                    </w:tc>
                    <w:tc>
                      <w:tcPr>
                        <w:tcW w:type="dxa" w:w="816"/>
                        <w:vMerge/>
                        <w:tcBorders/>
                      </w:tcPr>
                      <w:p/>
                    </w:tc>
                    <w:tc>
                      <w:tcPr>
                        <w:tcW w:type="dxa" w:w="92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exact" w:before="34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Calibri" w:hAnsi="Calibri" w:eastAsia="Calibri"/>
                            <w:b w:val="0"/>
                            <w:i w:val="0"/>
                            <w:color w:val="000000"/>
                            <w:sz w:val="24"/>
                          </w:rPr>
                          <w:t xml:space="preserve">que, </w:t>
                        </w:r>
                      </w:p>
                    </w:tc>
                    <w:tc>
                      <w:tcPr>
                        <w:tcW w:type="dxa" w:w="82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exact" w:before="34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Calibri" w:hAnsi="Calibri" w:eastAsia="Calibri"/>
                            <w:b w:val="0"/>
                            <w:i w:val="0"/>
                            <w:color w:val="000000"/>
                            <w:sz w:val="24"/>
                          </w:rPr>
                          <w:t xml:space="preserve">quando 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240" w:lineRule="exact" w:before="2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desafetados, ainda não tenham </w:t>
                  </w:r>
                </w:p>
                <w:p>
                  <w:pPr>
                    <w:autoSpaceDN w:val="0"/>
                    <w:autoSpaceDE w:val="0"/>
                    <w:widowControl/>
                    <w:spacing w:line="282" w:lineRule="exact" w:before="12" w:after="0"/>
                    <w:ind w:left="110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>sido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>formalmente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devolvidos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ao titular do serviço. </w:t>
                  </w:r>
                </w:p>
              </w:tc>
              <w:tc>
                <w:tcPr>
                  <w:tcW w:type="dxa" w:w="112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42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1056" w:after="0"/>
                    <w:ind w:left="106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X </w:t>
                  </w:r>
                </w:p>
              </w:tc>
            </w:tr>
            <w:tr>
              <w:trPr>
                <w:trHeight w:hRule="exact" w:val="3824"/>
              </w:trPr>
              <w:tc>
                <w:tcPr>
                  <w:tcW w:type="dxa" w:w="2404"/>
                  <w:vMerge w:val="restart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11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RISCOS DE DEMANDA </w:t>
                  </w:r>
                </w:p>
              </w:tc>
              <w:tc>
                <w:tcPr>
                  <w:tcW w:type="dxa" w:w="56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1790" w:after="0"/>
                    <w:ind w:left="108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6 </w:t>
                  </w:r>
                </w:p>
              </w:tc>
              <w:tc>
                <w:tcPr>
                  <w:tcW w:type="dxa" w:w="326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82" w:lineRule="exact" w:before="0" w:after="26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Variação, para mais ou para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menos, da demanda pelos 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51.999999999999886" w:type="dxa"/>
                  </w:tblPr>
                  <w:tblGrid>
                    <w:gridCol w:w="1088"/>
                    <w:gridCol w:w="1088"/>
                    <w:gridCol w:w="1088"/>
                  </w:tblGrid>
                  <w:tr>
                    <w:trPr>
                      <w:trHeight w:hRule="exact" w:val="292"/>
                    </w:trPr>
                    <w:tc>
                      <w:tcPr>
                        <w:tcW w:type="dxa" w:w="110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exact" w:before="26" w:after="0"/>
                          <w:ind w:left="58" w:right="0" w:firstLine="0"/>
                          <w:jc w:val="left"/>
                        </w:pPr>
                        <w:r>
                          <w:rPr>
                            <w:rFonts w:ascii="Calibri" w:hAnsi="Calibri" w:eastAsia="Calibri"/>
                            <w:b w:val="0"/>
                            <w:i w:val="0"/>
                            <w:color w:val="000000"/>
                            <w:sz w:val="24"/>
                          </w:rPr>
                          <w:t xml:space="preserve">serviços </w:t>
                        </w:r>
                      </w:p>
                    </w:tc>
                    <w:tc>
                      <w:tcPr>
                        <w:tcW w:type="dxa" w:w="148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exact" w:before="26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Calibri" w:hAnsi="Calibri" w:eastAsia="Calibri"/>
                            <w:b w:val="0"/>
                            <w:i w:val="0"/>
                            <w:color w:val="000000"/>
                            <w:sz w:val="24"/>
                          </w:rPr>
                          <w:t xml:space="preserve">prestados, </w:t>
                        </w:r>
                      </w:p>
                    </w:tc>
                    <w:tc>
                      <w:tcPr>
                        <w:tcW w:type="dxa" w:w="60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exact" w:before="26" w:after="0"/>
                          <w:ind w:left="0" w:right="18" w:firstLine="0"/>
                          <w:jc w:val="right"/>
                        </w:pPr>
                        <w:r>
                          <w:rPr>
                            <w:rFonts w:ascii="Calibri" w:hAnsi="Calibri" w:eastAsia="Calibri"/>
                            <w:b w:val="0"/>
                            <w:i w:val="0"/>
                            <w:color w:val="000000"/>
                            <w:sz w:val="24"/>
                          </w:rPr>
                          <w:t xml:space="preserve">em 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280" w:lineRule="exact" w:before="0" w:after="26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decorrência do adensamento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populacional; da alteração do 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51.999999999999886" w:type="dxa"/>
                  </w:tblPr>
                  <w:tblGrid>
                    <w:gridCol w:w="816"/>
                    <w:gridCol w:w="816"/>
                    <w:gridCol w:w="816"/>
                    <w:gridCol w:w="816"/>
                  </w:tblGrid>
                  <w:tr>
                    <w:trPr>
                      <w:trHeight w:hRule="exact" w:val="296"/>
                    </w:trPr>
                    <w:tc>
                      <w:tcPr>
                        <w:tcW w:type="dxa" w:w="72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2" w:lineRule="exact" w:before="28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Calibri" w:hAnsi="Calibri" w:eastAsia="Calibri"/>
                            <w:b w:val="0"/>
                            <w:i w:val="0"/>
                            <w:color w:val="000000"/>
                            <w:sz w:val="24"/>
                          </w:rPr>
                          <w:t xml:space="preserve">perfil </w:t>
                        </w:r>
                      </w:p>
                    </w:tc>
                    <w:tc>
                      <w:tcPr>
                        <w:tcW w:type="dxa" w:w="148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2" w:lineRule="exact" w:before="28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Calibri" w:hAnsi="Calibri" w:eastAsia="Calibri"/>
                            <w:b w:val="0"/>
                            <w:i w:val="0"/>
                            <w:color w:val="000000"/>
                            <w:sz w:val="24"/>
                          </w:rPr>
                          <w:t xml:space="preserve">habitacional </w:t>
                        </w:r>
                      </w:p>
                    </w:tc>
                    <w:tc>
                      <w:tcPr>
                        <w:tcW w:type="dxa" w:w="54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2" w:lineRule="exact" w:before="28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Calibri" w:hAnsi="Calibri" w:eastAsia="Calibri"/>
                            <w:b w:val="0"/>
                            <w:i w:val="0"/>
                            <w:color w:val="000000"/>
                            <w:sz w:val="24"/>
                          </w:rPr>
                          <w:t xml:space="preserve">ou </w:t>
                        </w:r>
                      </w:p>
                    </w:tc>
                    <w:tc>
                      <w:tcPr>
                        <w:tcW w:type="dxa" w:w="44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2" w:lineRule="exact" w:before="28" w:after="0"/>
                          <w:ind w:left="0" w:right="20" w:firstLine="0"/>
                          <w:jc w:val="right"/>
                        </w:pPr>
                        <w:r>
                          <w:rPr>
                            <w:rFonts w:ascii="Calibri" w:hAnsi="Calibri" w:eastAsia="Calibri"/>
                            <w:b w:val="0"/>
                            <w:i w:val="0"/>
                            <w:color w:val="000000"/>
                            <w:sz w:val="24"/>
                          </w:rPr>
                          <w:t xml:space="preserve">do </w:t>
                        </w:r>
                      </w:p>
                    </w:tc>
                  </w:tr>
                </w:tbl>
                <w:p>
                  <w:pPr>
                    <w:autoSpaceDN w:val="0"/>
                    <w:tabs>
                      <w:tab w:pos="1272" w:val="left"/>
                      <w:tab w:pos="1774" w:val="left"/>
                      <w:tab w:pos="2138" w:val="left"/>
                      <w:tab w:pos="2604" w:val="left"/>
                      <w:tab w:pos="2790" w:val="left"/>
                    </w:tabs>
                    <w:autoSpaceDE w:val="0"/>
                    <w:widowControl/>
                    <w:spacing w:line="288" w:lineRule="exact" w:before="0" w:after="0"/>
                    <w:ind w:left="110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padrão de consumo; ou da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alteração da composição de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usuários,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desde </w:t>
                  </w:r>
                  <w:r>
                    <w:tab/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que </w:t>
                  </w:r>
                  <w:r>
                    <w:tab/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não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decorrentes </w:t>
                  </w:r>
                  <w:r>
                    <w:tab/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dos </w:t>
                  </w:r>
                  <w:r>
                    <w:br/>
                  </w:r>
                  <w:r>
                    <w:tab/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riscos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previstos como fato do príncipe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ou  fato  da  Administração,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desta matriz de riscos. </w:t>
                  </w:r>
                </w:p>
              </w:tc>
              <w:tc>
                <w:tcPr>
                  <w:tcW w:type="dxa" w:w="112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42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1790" w:after="0"/>
                    <w:ind w:left="106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X </w:t>
                  </w:r>
                </w:p>
              </w:tc>
            </w:tr>
            <w:tr>
              <w:trPr>
                <w:trHeight w:hRule="exact" w:val="2642"/>
              </w:trPr>
              <w:tc>
                <w:tcPr>
                  <w:tcW w:type="dxa" w:w="1761"/>
                  <w:vMerge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</w:tcPr>
                <w:p/>
              </w:tc>
              <w:tc>
                <w:tcPr>
                  <w:tcW w:type="dxa" w:w="56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1196" w:after="0"/>
                    <w:ind w:left="108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7 </w:t>
                  </w:r>
                </w:p>
              </w:tc>
              <w:tc>
                <w:tcPr>
                  <w:tcW w:type="dxa" w:w="326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86" w:lineRule="exact" w:before="0" w:after="26"/>
                    <w:ind w:left="110" w:right="42" w:firstLine="0"/>
                    <w:jc w:val="both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Variação, para mais ou para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menos, superior a [==] % (==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por cento), conforme previsto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em contrato, na proporção de 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51.999999999999886" w:type="dxa"/>
                  </w:tblPr>
                  <w:tblGrid>
                    <w:gridCol w:w="1088"/>
                    <w:gridCol w:w="1088"/>
                    <w:gridCol w:w="1088"/>
                  </w:tblGrid>
                  <w:tr>
                    <w:trPr>
                      <w:trHeight w:hRule="exact" w:val="294"/>
                    </w:trPr>
                    <w:tc>
                      <w:tcPr>
                        <w:tcW w:type="dxa" w:w="138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2" w:lineRule="exact" w:before="26" w:after="0"/>
                          <w:ind w:left="58" w:right="0" w:firstLine="0"/>
                          <w:jc w:val="left"/>
                        </w:pPr>
                        <w:r>
                          <w:rPr>
                            <w:rFonts w:ascii="Calibri" w:hAnsi="Calibri" w:eastAsia="Calibri"/>
                            <w:b w:val="0"/>
                            <w:i w:val="0"/>
                            <w:color w:val="000000"/>
                            <w:sz w:val="24"/>
                          </w:rPr>
                          <w:t xml:space="preserve">economias </w:t>
                        </w:r>
                      </w:p>
                    </w:tc>
                    <w:tc>
                      <w:tcPr>
                        <w:tcW w:type="dxa" w:w="126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2" w:lineRule="exact" w:before="26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Calibri" w:hAnsi="Calibri" w:eastAsia="Calibri"/>
                            <w:b w:val="0"/>
                            <w:i w:val="0"/>
                            <w:color w:val="000000"/>
                            <w:sz w:val="24"/>
                          </w:rPr>
                          <w:t xml:space="preserve">sujeitas </w:t>
                        </w:r>
                      </w:p>
                    </w:tc>
                    <w:tc>
                      <w:tcPr>
                        <w:tcW w:type="dxa" w:w="54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2" w:lineRule="exact" w:before="26" w:after="0"/>
                          <w:ind w:left="0" w:right="20" w:firstLine="0"/>
                          <w:jc w:val="right"/>
                        </w:pPr>
                        <w:r>
                          <w:rPr>
                            <w:rFonts w:ascii="Calibri" w:hAnsi="Calibri" w:eastAsia="Calibri"/>
                            <w:b w:val="0"/>
                            <w:i w:val="0"/>
                            <w:color w:val="000000"/>
                            <w:sz w:val="24"/>
                          </w:rPr>
                          <w:t xml:space="preserve">ao 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284" w:lineRule="exact" w:before="0" w:after="0"/>
                    <w:ind w:left="110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pagamento de tarifa social ou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isentas de pagamento, em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relação ao total das economias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ativas existentes. </w:t>
                  </w:r>
                </w:p>
              </w:tc>
              <w:tc>
                <w:tcPr>
                  <w:tcW w:type="dxa" w:w="112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1196" w:after="0"/>
                    <w:ind w:left="108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X </w:t>
                  </w:r>
                </w:p>
              </w:tc>
              <w:tc>
                <w:tcPr>
                  <w:tcW w:type="dxa" w:w="142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  <w:tr>
              <w:trPr>
                <w:trHeight w:hRule="exact" w:val="2356"/>
              </w:trPr>
              <w:tc>
                <w:tcPr>
                  <w:tcW w:type="dxa" w:w="2404"/>
                  <w:vMerge w:val="restart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2234" w:after="0"/>
                    <w:ind w:left="106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RISCOS SOCIAIS </w:t>
                  </w:r>
                </w:p>
              </w:tc>
              <w:tc>
                <w:tcPr>
                  <w:tcW w:type="dxa" w:w="56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1056" w:after="0"/>
                    <w:ind w:left="108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8 </w:t>
                  </w:r>
                </w:p>
              </w:tc>
              <w:tc>
                <w:tcPr>
                  <w:tcW w:type="dxa" w:w="326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2" w:after="26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Ocorrência de manifestações 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51.999999999999886" w:type="dxa"/>
                  </w:tblPr>
                  <w:tblGrid>
                    <w:gridCol w:w="816"/>
                    <w:gridCol w:w="816"/>
                    <w:gridCol w:w="816"/>
                    <w:gridCol w:w="816"/>
                  </w:tblGrid>
                  <w:tr>
                    <w:trPr>
                      <w:trHeight w:hRule="exact" w:val="292"/>
                    </w:trPr>
                    <w:tc>
                      <w:tcPr>
                        <w:tcW w:type="dxa" w:w="90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exact" w:before="26" w:after="0"/>
                          <w:ind w:left="58" w:right="0" w:firstLine="0"/>
                          <w:jc w:val="left"/>
                        </w:pPr>
                        <w:r>
                          <w:rPr>
                            <w:rFonts w:ascii="Calibri" w:hAnsi="Calibri" w:eastAsia="Calibri"/>
                            <w:b w:val="0"/>
                            <w:i w:val="0"/>
                            <w:color w:val="000000"/>
                            <w:sz w:val="24"/>
                          </w:rPr>
                          <w:t xml:space="preserve">sociais </w:t>
                        </w:r>
                      </w:p>
                    </w:tc>
                    <w:tc>
                      <w:tcPr>
                        <w:tcW w:type="dxa" w:w="68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exact" w:before="26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Calibri" w:hAnsi="Calibri" w:eastAsia="Calibri"/>
                            <w:b w:val="0"/>
                            <w:i w:val="0"/>
                            <w:color w:val="000000"/>
                            <w:sz w:val="24"/>
                          </w:rPr>
                          <w:t xml:space="preserve"> ou </w:t>
                        </w:r>
                      </w:p>
                    </w:tc>
                    <w:tc>
                      <w:tcPr>
                        <w:tcW w:type="dxa" w:w="102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exact" w:before="26" w:after="0"/>
                          <w:ind w:left="200" w:right="0" w:firstLine="0"/>
                          <w:jc w:val="left"/>
                        </w:pPr>
                        <w:r>
                          <w:rPr>
                            <w:rFonts w:ascii="Calibri" w:hAnsi="Calibri" w:eastAsia="Calibri"/>
                            <w:b w:val="0"/>
                            <w:i w:val="0"/>
                            <w:color w:val="000000"/>
                            <w:sz w:val="24"/>
                          </w:rPr>
                          <w:t xml:space="preserve"> greves </w:t>
                        </w:r>
                      </w:p>
                    </w:tc>
                    <w:tc>
                      <w:tcPr>
                        <w:tcW w:type="dxa" w:w="56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exact" w:before="26" w:after="0"/>
                          <w:ind w:left="132" w:right="0" w:firstLine="0"/>
                          <w:jc w:val="left"/>
                        </w:pPr>
                        <w:r>
                          <w:rPr>
                            <w:rFonts w:ascii="Calibri" w:hAnsi="Calibri" w:eastAsia="Calibri"/>
                            <w:b w:val="0"/>
                            <w:i w:val="0"/>
                            <w:color w:val="000000"/>
                            <w:sz w:val="24"/>
                          </w:rPr>
                          <w:t xml:space="preserve"> de 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242" w:lineRule="exact" w:before="26" w:after="0"/>
                    <w:ind w:left="110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trabalhadores, </w:t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exact" w:before="5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independentemente do setor, </w:t>
                  </w:r>
                </w:p>
                <w:p>
                  <w:pPr>
                    <w:autoSpaceDN w:val="0"/>
                    <w:autoSpaceDE w:val="0"/>
                    <w:widowControl/>
                    <w:spacing w:line="242" w:lineRule="exact" w:before="5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incluindo os agentes públicos </w:t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exact" w:before="52" w:after="26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do titular  do serviço, que 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51.999999999999886" w:type="dxa"/>
                  </w:tblPr>
                  <w:tblGrid>
                    <w:gridCol w:w="1088"/>
                    <w:gridCol w:w="1088"/>
                    <w:gridCol w:w="1088"/>
                  </w:tblGrid>
                  <w:tr>
                    <w:trPr>
                      <w:trHeight w:hRule="exact" w:val="288"/>
                    </w:trPr>
                    <w:tc>
                      <w:tcPr>
                        <w:tcW w:type="dxa" w:w="92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exact" w:before="26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Calibri" w:hAnsi="Calibri" w:eastAsia="Calibri"/>
                            <w:b w:val="0"/>
                            <w:i w:val="0"/>
                            <w:color w:val="000000"/>
                            <w:sz w:val="24"/>
                          </w:rPr>
                          <w:t xml:space="preserve">afetem </w:t>
                        </w:r>
                      </w:p>
                    </w:tc>
                    <w:tc>
                      <w:tcPr>
                        <w:tcW w:type="dxa" w:w="168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exact" w:before="26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Calibri" w:hAnsi="Calibri" w:eastAsia="Calibri"/>
                            <w:b w:val="0"/>
                            <w:i w:val="0"/>
                            <w:color w:val="000000"/>
                            <w:sz w:val="24"/>
                          </w:rPr>
                          <w:t xml:space="preserve">a  prestação </w:t>
                        </w:r>
                      </w:p>
                    </w:tc>
                    <w:tc>
                      <w:tcPr>
                        <w:tcW w:type="dxa" w:w="56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exact" w:before="26" w:after="0"/>
                          <w:ind w:left="132" w:right="0" w:firstLine="0"/>
                          <w:jc w:val="left"/>
                        </w:pPr>
                        <w:r>
                          <w:rPr>
                            <w:rFonts w:ascii="Calibri" w:hAnsi="Calibri" w:eastAsia="Calibri"/>
                            <w:b w:val="0"/>
                            <w:i w:val="0"/>
                            <w:color w:val="000000"/>
                            <w:sz w:val="24"/>
                          </w:rPr>
                          <w:t xml:space="preserve"> dos 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240" w:lineRule="exact" w:before="22" w:after="0"/>
                    <w:ind w:left="110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serviços. </w:t>
                  </w:r>
                </w:p>
              </w:tc>
              <w:tc>
                <w:tcPr>
                  <w:tcW w:type="dxa" w:w="112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1056" w:after="0"/>
                    <w:ind w:left="108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X </w:t>
                  </w:r>
                </w:p>
              </w:tc>
              <w:tc>
                <w:tcPr>
                  <w:tcW w:type="dxa" w:w="142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  <w:tr>
              <w:trPr>
                <w:trHeight w:hRule="exact" w:val="2336"/>
              </w:trPr>
              <w:tc>
                <w:tcPr>
                  <w:tcW w:type="dxa" w:w="1761"/>
                  <w:vMerge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</w:tcPr>
                <w:p/>
              </w:tc>
              <w:tc>
                <w:tcPr>
                  <w:tcW w:type="dxa" w:w="56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1060" w:after="0"/>
                    <w:ind w:left="108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9 </w:t>
                  </w:r>
                </w:p>
              </w:tc>
              <w:tc>
                <w:tcPr>
                  <w:tcW w:type="dxa" w:w="326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51.999999999999886" w:type="dxa"/>
                  </w:tblPr>
                  <w:tblGrid>
                    <w:gridCol w:w="1088"/>
                    <w:gridCol w:w="1088"/>
                    <w:gridCol w:w="1088"/>
                  </w:tblGrid>
                  <w:tr>
                    <w:trPr>
                      <w:trHeight w:hRule="exact" w:val="284"/>
                    </w:trPr>
                    <w:tc>
                      <w:tcPr>
                        <w:tcW w:type="dxa" w:w="140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exact" w:before="18" w:after="0"/>
                          <w:ind w:left="58" w:right="0" w:firstLine="0"/>
                          <w:jc w:val="left"/>
                        </w:pPr>
                        <w:r>
                          <w:rPr>
                            <w:rFonts w:ascii="Calibri" w:hAnsi="Calibri" w:eastAsia="Calibri"/>
                            <w:b w:val="0"/>
                            <w:i w:val="0"/>
                            <w:color w:val="000000"/>
                            <w:sz w:val="24"/>
                          </w:rPr>
                          <w:t xml:space="preserve">Ocorrência </w:t>
                        </w:r>
                      </w:p>
                    </w:tc>
                    <w:tc>
                      <w:tcPr>
                        <w:tcW w:type="dxa" w:w="76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exact" w:before="18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Calibri" w:hAnsi="Calibri" w:eastAsia="Calibri"/>
                            <w:b w:val="0"/>
                            <w:i w:val="0"/>
                            <w:color w:val="000000"/>
                            <w:sz w:val="24"/>
                          </w:rPr>
                          <w:t xml:space="preserve">de </w:t>
                        </w:r>
                      </w:p>
                    </w:tc>
                    <w:tc>
                      <w:tcPr>
                        <w:tcW w:type="dxa" w:w="102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exact" w:before="18" w:after="0"/>
                          <w:ind w:left="250" w:right="0" w:firstLine="0"/>
                          <w:jc w:val="left"/>
                        </w:pPr>
                        <w:r>
                          <w:rPr>
                            <w:rFonts w:ascii="Calibri" w:hAnsi="Calibri" w:eastAsia="Calibri"/>
                            <w:b w:val="0"/>
                            <w:i w:val="0"/>
                            <w:color w:val="000000"/>
                            <w:sz w:val="24"/>
                          </w:rPr>
                          <w:t xml:space="preserve">greves, 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240" w:lineRule="exact" w:before="26" w:after="28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paralisações ou manifestações 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51.999999999999886" w:type="dxa"/>
                  </w:tblPr>
                  <w:tblGrid>
                    <w:gridCol w:w="1088"/>
                    <w:gridCol w:w="1088"/>
                    <w:gridCol w:w="1088"/>
                  </w:tblGrid>
                  <w:tr>
                    <w:trPr>
                      <w:trHeight w:hRule="exact" w:val="292"/>
                    </w:trPr>
                    <w:tc>
                      <w:tcPr>
                        <w:tcW w:type="dxa" w:w="62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exact" w:before="26" w:after="0"/>
                          <w:ind w:left="58" w:right="0" w:firstLine="0"/>
                          <w:jc w:val="left"/>
                        </w:pPr>
                        <w:r>
                          <w:rPr>
                            <w:rFonts w:ascii="Calibri" w:hAnsi="Calibri" w:eastAsia="Calibri"/>
                            <w:b w:val="0"/>
                            <w:i w:val="0"/>
                            <w:color w:val="000000"/>
                            <w:sz w:val="24"/>
                          </w:rPr>
                          <w:t xml:space="preserve">de </w:t>
                        </w:r>
                      </w:p>
                    </w:tc>
                    <w:tc>
                      <w:tcPr>
                        <w:tcW w:type="dxa" w:w="194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exact" w:before="26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Calibri" w:hAnsi="Calibri" w:eastAsia="Calibri"/>
                            <w:b w:val="0"/>
                            <w:i w:val="0"/>
                            <w:color w:val="000000"/>
                            <w:sz w:val="24"/>
                          </w:rPr>
                          <w:t xml:space="preserve">trabalhadores </w:t>
                        </w:r>
                      </w:p>
                    </w:tc>
                    <w:tc>
                      <w:tcPr>
                        <w:tcW w:type="dxa" w:w="60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exact" w:before="26" w:after="0"/>
                          <w:ind w:left="0" w:right="14" w:firstLine="0"/>
                          <w:jc w:val="right"/>
                        </w:pPr>
                        <w:r>
                          <w:rPr>
                            <w:rFonts w:ascii="Calibri" w:hAnsi="Calibri" w:eastAsia="Calibri"/>
                            <w:b w:val="0"/>
                            <w:i w:val="0"/>
                            <w:color w:val="000000"/>
                            <w:sz w:val="24"/>
                          </w:rPr>
                          <w:t xml:space="preserve">ou </w:t>
                        </w:r>
                      </w:p>
                    </w:tc>
                  </w:tr>
                </w:tbl>
                <w:p>
                  <w:pPr>
                    <w:autoSpaceDN w:val="0"/>
                    <w:tabs>
                      <w:tab w:pos="2276" w:val="left"/>
                    </w:tabs>
                    <w:autoSpaceDE w:val="0"/>
                    <w:widowControl/>
                    <w:spacing w:line="286" w:lineRule="exact" w:before="0" w:after="0"/>
                    <w:ind w:left="110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subcontratados do prestador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que afetem a prestação dos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serviços, quando tais eventos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>forem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>motivados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por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demandas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daqueles </w:t>
                  </w:r>
                </w:p>
              </w:tc>
              <w:tc>
                <w:tcPr>
                  <w:tcW w:type="dxa" w:w="112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42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1060" w:after="0"/>
                    <w:ind w:left="106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X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5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3968" w:after="0"/>
              <w:ind w:left="1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 </w:t>
            </w:r>
          </w:p>
        </w:tc>
        <w:tc>
          <w:tcPr>
            <w:tcW w:type="dxa" w:w="54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334" w:after="0"/>
              <w:ind w:left="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Assinado por 1 pessoa:  DALTO FAVERO BROCHI</w:t>
            </w:r>
          </w:p>
        </w:tc>
        <w:tc>
          <w:tcPr>
            <w:tcW w:type="dxa" w:w="2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Para verificar a validade das assinaturas, acesse https://stip-arespcj.1doc.com.br/verificacao/C5C1-CB1F-7652-0F71 e informe o código C5C1-CB1F-7652-0F71</w:t>
            </w:r>
          </w:p>
        </w:tc>
      </w:tr>
      <w:tr>
        <w:trPr>
          <w:trHeight w:hRule="exact" w:val="458"/>
        </w:trPr>
        <w:tc>
          <w:tcPr>
            <w:tcW w:type="dxa" w:w="880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6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RESOLUÇÃO ARES-PCJ Nº 651 – 20/08/2025 </w:t>
            </w:r>
          </w:p>
        </w:tc>
        <w:tc>
          <w:tcPr>
            <w:tcW w:type="dxa" w:w="2523"/>
            <w:vMerge/>
            <w:tcBorders/>
          </w:tcPr>
          <w:p/>
        </w:tc>
        <w:tc>
          <w:tcPr>
            <w:tcW w:type="dxa" w:w="2523"/>
            <w:vMerge/>
            <w:tcBorders/>
          </w:tcPr>
          <w:p/>
        </w:tc>
        <w:tc>
          <w:tcPr>
            <w:tcW w:type="dxa" w:w="2523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11" w:h="16841"/>
          <w:pgMar w:top="310" w:right="404" w:bottom="482" w:left="14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9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9790430</wp:posOffset>
            </wp:positionV>
            <wp:extent cx="7555230" cy="901548"/>
            <wp:wrapNone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5230" cy="90154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170"/>
        <w:ind w:left="0" w:right="3574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2519680</wp:posOffset>
            </wp:positionH>
            <wp:positionV relativeFrom="page">
              <wp:posOffset>393700</wp:posOffset>
            </wp:positionV>
            <wp:extent cx="2518410" cy="539750"/>
            <wp:wrapNone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18410" cy="53975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523"/>
        <w:gridCol w:w="2523"/>
        <w:gridCol w:w="2523"/>
        <w:gridCol w:w="2523"/>
      </w:tblGrid>
      <w:tr>
        <w:trPr>
          <w:trHeight w:hRule="exact" w:val="13620"/>
        </w:trPr>
        <w:tc>
          <w:tcPr>
            <w:tcW w:type="dxa" w:w="880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8.000000000000114" w:type="dxa"/>
            </w:tblPr>
            <w:tblGrid>
              <w:gridCol w:w="1761"/>
              <w:gridCol w:w="1761"/>
              <w:gridCol w:w="1761"/>
              <w:gridCol w:w="1761"/>
              <w:gridCol w:w="1761"/>
            </w:tblGrid>
            <w:tr>
              <w:trPr>
                <w:trHeight w:hRule="exact" w:val="1180"/>
              </w:trPr>
              <w:tc>
                <w:tcPr>
                  <w:tcW w:type="dxa" w:w="240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6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326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2" w:after="26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direcionadas ao prestador ou 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51.999999999999886" w:type="dxa"/>
                  </w:tblPr>
                  <w:tblGrid>
                    <w:gridCol w:w="1088"/>
                    <w:gridCol w:w="1088"/>
                    <w:gridCol w:w="1088"/>
                  </w:tblGrid>
                  <w:tr>
                    <w:trPr>
                      <w:trHeight w:hRule="exact" w:val="294"/>
                    </w:trPr>
                    <w:tc>
                      <w:tcPr>
                        <w:tcW w:type="dxa" w:w="44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2" w:lineRule="exact" w:before="26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Calibri" w:hAnsi="Calibri" w:eastAsia="Calibri"/>
                            <w:b w:val="0"/>
                            <w:i w:val="0"/>
                            <w:color w:val="000000"/>
                            <w:sz w:val="24"/>
                          </w:rPr>
                          <w:t xml:space="preserve">às </w:t>
                        </w:r>
                      </w:p>
                    </w:tc>
                    <w:tc>
                      <w:tcPr>
                        <w:tcW w:type="dxa" w:w="188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2" w:lineRule="exact" w:before="26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Calibri" w:hAnsi="Calibri" w:eastAsia="Calibri"/>
                            <w:b w:val="0"/>
                            <w:i w:val="0"/>
                            <w:color w:val="000000"/>
                            <w:sz w:val="24"/>
                          </w:rPr>
                          <w:t xml:space="preserve">subcontratadas, </w:t>
                        </w:r>
                      </w:p>
                    </w:tc>
                    <w:tc>
                      <w:tcPr>
                        <w:tcW w:type="dxa" w:w="86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2" w:lineRule="exact" w:before="26" w:after="0"/>
                          <w:ind w:left="134" w:right="0" w:firstLine="0"/>
                          <w:jc w:val="left"/>
                        </w:pPr>
                        <w:r>
                          <w:rPr>
                            <w:rFonts w:ascii="Calibri" w:hAnsi="Calibri" w:eastAsia="Calibri"/>
                            <w:b w:val="0"/>
                            <w:i w:val="0"/>
                            <w:color w:val="000000"/>
                            <w:sz w:val="24"/>
                          </w:rPr>
                          <w:t xml:space="preserve">exceto 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276" w:lineRule="exact" w:before="0" w:after="0"/>
                    <w:ind w:left="110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aquelas  consideradas  ilegais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pelo Poder Judiciário. </w:t>
                  </w:r>
                </w:p>
              </w:tc>
              <w:tc>
                <w:tcPr>
                  <w:tcW w:type="dxa" w:w="112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42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  <w:tr>
              <w:trPr>
                <w:trHeight w:hRule="exact" w:val="1770"/>
              </w:trPr>
              <w:tc>
                <w:tcPr>
                  <w:tcW w:type="dxa" w:w="240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8" w:after="0"/>
                    <w:ind w:left="106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RISCO POLÍTICO </w:t>
                  </w:r>
                </w:p>
              </w:tc>
              <w:tc>
                <w:tcPr>
                  <w:tcW w:type="dxa" w:w="56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76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10 </w:t>
                  </w:r>
                </w:p>
              </w:tc>
              <w:tc>
                <w:tcPr>
                  <w:tcW w:type="dxa" w:w="326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51.999999999999886" w:type="dxa"/>
                  </w:tblPr>
                  <w:tblGrid>
                    <w:gridCol w:w="816"/>
                    <w:gridCol w:w="816"/>
                    <w:gridCol w:w="816"/>
                    <w:gridCol w:w="816"/>
                  </w:tblGrid>
                  <w:tr>
                    <w:trPr>
                      <w:trHeight w:hRule="exact" w:val="286"/>
                    </w:trPr>
                    <w:tc>
                      <w:tcPr>
                        <w:tcW w:type="dxa" w:w="86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2" w:lineRule="exact" w:before="18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Calibri" w:hAnsi="Calibri" w:eastAsia="Calibri"/>
                            <w:b w:val="0"/>
                            <w:i w:val="0"/>
                            <w:color w:val="000000"/>
                            <w:sz w:val="24"/>
                          </w:rPr>
                          <w:t xml:space="preserve">Atraso </w:t>
                        </w:r>
                      </w:p>
                    </w:tc>
                    <w:tc>
                      <w:tcPr>
                        <w:tcW w:type="dxa" w:w="58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2" w:lineRule="exact" w:before="18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Calibri" w:hAnsi="Calibri" w:eastAsia="Calibri"/>
                            <w:b w:val="0"/>
                            <w:i w:val="0"/>
                            <w:color w:val="000000"/>
                            <w:sz w:val="24"/>
                          </w:rPr>
                          <w:t xml:space="preserve">ou </w:t>
                        </w:r>
                      </w:p>
                    </w:tc>
                    <w:tc>
                      <w:tcPr>
                        <w:tcW w:type="dxa" w:w="128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2" w:lineRule="exact" w:before="18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Calibri" w:hAnsi="Calibri" w:eastAsia="Calibri"/>
                            <w:b w:val="0"/>
                            <w:i w:val="0"/>
                            <w:color w:val="000000"/>
                            <w:sz w:val="24"/>
                          </w:rPr>
                          <w:t xml:space="preserve">supressão </w:t>
                        </w:r>
                      </w:p>
                    </w:tc>
                    <w:tc>
                      <w:tcPr>
                        <w:tcW w:type="dxa" w:w="46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2" w:lineRule="exact" w:before="18" w:after="0"/>
                          <w:ind w:left="0" w:right="22" w:firstLine="0"/>
                          <w:jc w:val="right"/>
                        </w:pPr>
                        <w:r>
                          <w:rPr>
                            <w:rFonts w:ascii="Calibri" w:hAnsi="Calibri" w:eastAsia="Calibri"/>
                            <w:b w:val="0"/>
                            <w:i w:val="0"/>
                            <w:color w:val="000000"/>
                            <w:sz w:val="24"/>
                          </w:rPr>
                          <w:t xml:space="preserve">do 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288" w:lineRule="exact" w:before="0" w:after="0"/>
                    <w:ind w:left="110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reajuste ou revisão da tarifa, ou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da contraprestação na forma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estabelecida no contrato, por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fatores não imputáveis ao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prestador de serviço. </w:t>
                  </w:r>
                </w:p>
              </w:tc>
              <w:tc>
                <w:tcPr>
                  <w:tcW w:type="dxa" w:w="112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762" w:after="0"/>
                    <w:ind w:left="108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X </w:t>
                  </w:r>
                </w:p>
              </w:tc>
              <w:tc>
                <w:tcPr>
                  <w:tcW w:type="dxa" w:w="142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  <w:tr>
              <w:trPr>
                <w:trHeight w:hRule="exact" w:val="2056"/>
              </w:trPr>
              <w:tc>
                <w:tcPr>
                  <w:tcW w:type="dxa" w:w="240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34" w:after="0"/>
                    <w:ind w:left="106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RISCO JURÍDICO </w:t>
                  </w:r>
                </w:p>
              </w:tc>
              <w:tc>
                <w:tcPr>
                  <w:tcW w:type="dxa" w:w="56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90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11 </w:t>
                  </w:r>
                </w:p>
              </w:tc>
              <w:tc>
                <w:tcPr>
                  <w:tcW w:type="dxa" w:w="326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86" w:lineRule="exact" w:before="0" w:after="26"/>
                    <w:ind w:left="110" w:right="40" w:firstLine="0"/>
                    <w:jc w:val="both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Atrasos ou suspensões ou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outras formas de obstáculo à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execução do contrato em razão 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51.999999999999886" w:type="dxa"/>
                  </w:tblPr>
                  <w:tblGrid>
                    <w:gridCol w:w="816"/>
                    <w:gridCol w:w="816"/>
                    <w:gridCol w:w="816"/>
                    <w:gridCol w:w="816"/>
                  </w:tblGrid>
                  <w:tr>
                    <w:trPr>
                      <w:trHeight w:hRule="exact" w:val="294"/>
                    </w:trPr>
                    <w:tc>
                      <w:tcPr>
                        <w:tcW w:type="dxa" w:w="48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exact" w:before="26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Calibri" w:hAnsi="Calibri" w:eastAsia="Calibri"/>
                            <w:b w:val="0"/>
                            <w:i w:val="0"/>
                            <w:color w:val="000000"/>
                            <w:sz w:val="24"/>
                          </w:rPr>
                          <w:t xml:space="preserve">de </w:t>
                        </w:r>
                      </w:p>
                    </w:tc>
                    <w:tc>
                      <w:tcPr>
                        <w:tcW w:type="dxa" w:w="114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exact" w:before="26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Calibri" w:hAnsi="Calibri" w:eastAsia="Calibri"/>
                            <w:b w:val="0"/>
                            <w:i w:val="0"/>
                            <w:color w:val="000000"/>
                            <w:sz w:val="24"/>
                          </w:rPr>
                          <w:t xml:space="preserve">decisões </w:t>
                        </w:r>
                      </w:p>
                    </w:tc>
                    <w:tc>
                      <w:tcPr>
                        <w:tcW w:type="dxa" w:w="110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exact" w:before="26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Calibri" w:hAnsi="Calibri" w:eastAsia="Calibri"/>
                            <w:b w:val="0"/>
                            <w:i w:val="0"/>
                            <w:color w:val="000000"/>
                            <w:sz w:val="24"/>
                          </w:rPr>
                          <w:t xml:space="preserve">judiciais </w:t>
                        </w:r>
                      </w:p>
                    </w:tc>
                    <w:tc>
                      <w:tcPr>
                        <w:tcW w:type="dxa" w:w="46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exact" w:before="26" w:after="0"/>
                          <w:ind w:left="0" w:right="18" w:firstLine="0"/>
                          <w:jc w:val="right"/>
                        </w:pPr>
                        <w:r>
                          <w:rPr>
                            <w:rFonts w:ascii="Calibri" w:hAnsi="Calibri" w:eastAsia="Calibri"/>
                            <w:b w:val="0"/>
                            <w:i w:val="0"/>
                            <w:color w:val="000000"/>
                            <w:sz w:val="24"/>
                          </w:rPr>
                          <w:t xml:space="preserve">ou 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280" w:lineRule="exact" w:before="0" w:after="0"/>
                    <w:ind w:left="110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administrativas, inclusive dos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órgãos de controle, por fatores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não imputáveis ao prestador. </w:t>
                  </w:r>
                </w:p>
              </w:tc>
              <w:tc>
                <w:tcPr>
                  <w:tcW w:type="dxa" w:w="112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906" w:after="0"/>
                    <w:ind w:left="108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X </w:t>
                  </w:r>
                </w:p>
              </w:tc>
              <w:tc>
                <w:tcPr>
                  <w:tcW w:type="dxa" w:w="142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  <w:tr>
              <w:trPr>
                <w:trHeight w:hRule="exact" w:val="2356"/>
              </w:trPr>
              <w:tc>
                <w:tcPr>
                  <w:tcW w:type="dxa" w:w="2404"/>
                  <w:vMerge w:val="restart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94" w:lineRule="exact" w:before="2190" w:after="0"/>
                    <w:ind w:left="106" w:right="144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RISCOS ECONÔMICO-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FINANCEIROS </w:t>
                  </w:r>
                </w:p>
              </w:tc>
              <w:tc>
                <w:tcPr>
                  <w:tcW w:type="dxa" w:w="56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105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12 </w:t>
                  </w:r>
                </w:p>
              </w:tc>
              <w:tc>
                <w:tcPr>
                  <w:tcW w:type="dxa" w:w="326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30" w:after="28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Variação de custos decorrente 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51.999999999999886" w:type="dxa"/>
                  </w:tblPr>
                  <w:tblGrid>
                    <w:gridCol w:w="816"/>
                    <w:gridCol w:w="816"/>
                    <w:gridCol w:w="816"/>
                    <w:gridCol w:w="816"/>
                  </w:tblGrid>
                  <w:tr>
                    <w:trPr>
                      <w:trHeight w:hRule="exact" w:val="292"/>
                    </w:trPr>
                    <w:tc>
                      <w:tcPr>
                        <w:tcW w:type="dxa" w:w="50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exact" w:before="26" w:after="0"/>
                          <w:ind w:left="58" w:right="0" w:firstLine="0"/>
                          <w:jc w:val="left"/>
                        </w:pPr>
                        <w:r>
                          <w:rPr>
                            <w:rFonts w:ascii="Calibri" w:hAnsi="Calibri" w:eastAsia="Calibri"/>
                            <w:b w:val="0"/>
                            <w:i w:val="0"/>
                            <w:color w:val="000000"/>
                            <w:sz w:val="24"/>
                          </w:rPr>
                          <w:t xml:space="preserve">de </w:t>
                        </w:r>
                      </w:p>
                    </w:tc>
                    <w:tc>
                      <w:tcPr>
                        <w:tcW w:type="dxa" w:w="116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exact" w:before="26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Calibri" w:hAnsi="Calibri" w:eastAsia="Calibri"/>
                            <w:b w:val="0"/>
                            <w:i w:val="0"/>
                            <w:color w:val="000000"/>
                            <w:sz w:val="24"/>
                          </w:rPr>
                          <w:t xml:space="preserve">dissídio, </w:t>
                        </w:r>
                      </w:p>
                    </w:tc>
                    <w:tc>
                      <w:tcPr>
                        <w:tcW w:type="dxa" w:w="102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exact" w:before="26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Calibri" w:hAnsi="Calibri" w:eastAsia="Calibri"/>
                            <w:b w:val="0"/>
                            <w:i w:val="0"/>
                            <w:color w:val="000000"/>
                            <w:sz w:val="24"/>
                          </w:rPr>
                          <w:t xml:space="preserve">acordo </w:t>
                        </w:r>
                      </w:p>
                    </w:tc>
                    <w:tc>
                      <w:tcPr>
                        <w:tcW w:type="dxa" w:w="50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exact" w:before="26" w:after="0"/>
                          <w:ind w:left="0" w:right="22" w:firstLine="0"/>
                          <w:jc w:val="right"/>
                        </w:pPr>
                        <w:r>
                          <w:rPr>
                            <w:rFonts w:ascii="Calibri" w:hAnsi="Calibri" w:eastAsia="Calibri"/>
                            <w:b w:val="0"/>
                            <w:i w:val="0"/>
                            <w:color w:val="000000"/>
                            <w:sz w:val="24"/>
                          </w:rPr>
                          <w:t xml:space="preserve">ou 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242" w:lineRule="exact" w:before="2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convenção coletiva, encargos </w:t>
                  </w:r>
                </w:p>
                <w:p>
                  <w:pPr>
                    <w:autoSpaceDN w:val="0"/>
                    <w:tabs>
                      <w:tab w:pos="1604" w:val="left"/>
                    </w:tabs>
                    <w:autoSpaceDE w:val="0"/>
                    <w:widowControl/>
                    <w:spacing w:line="240" w:lineRule="exact" w:before="52" w:after="0"/>
                    <w:ind w:left="110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trabalhistas, </w:t>
                  </w:r>
                  <w:r>
                    <w:tab/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previdenciários, </w:t>
                  </w:r>
                </w:p>
                <w:p>
                  <w:pPr>
                    <w:autoSpaceDN w:val="0"/>
                    <w:autoSpaceDE w:val="0"/>
                    <w:widowControl/>
                    <w:spacing w:line="242" w:lineRule="exact" w:before="52" w:after="26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fiscais e comerciais resultantes 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51.999999999999886" w:type="dxa"/>
                  </w:tblPr>
                  <w:tblGrid>
                    <w:gridCol w:w="816"/>
                    <w:gridCol w:w="816"/>
                    <w:gridCol w:w="816"/>
                    <w:gridCol w:w="816"/>
                  </w:tblGrid>
                  <w:tr>
                    <w:trPr>
                      <w:trHeight w:hRule="exact" w:val="292"/>
                    </w:trPr>
                    <w:tc>
                      <w:tcPr>
                        <w:tcW w:type="dxa" w:w="44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exact" w:before="26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Calibri" w:hAnsi="Calibri" w:eastAsia="Calibri"/>
                            <w:b w:val="0"/>
                            <w:i w:val="0"/>
                            <w:color w:val="000000"/>
                            <w:sz w:val="24"/>
                          </w:rPr>
                          <w:t xml:space="preserve">da </w:t>
                        </w:r>
                      </w:p>
                    </w:tc>
                    <w:tc>
                      <w:tcPr>
                        <w:tcW w:type="dxa" w:w="116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exact" w:before="26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Calibri" w:hAnsi="Calibri" w:eastAsia="Calibri"/>
                            <w:b w:val="0"/>
                            <w:i w:val="0"/>
                            <w:color w:val="000000"/>
                            <w:sz w:val="24"/>
                          </w:rPr>
                          <w:t xml:space="preserve">execução </w:t>
                        </w:r>
                      </w:p>
                    </w:tc>
                    <w:tc>
                      <w:tcPr>
                        <w:tcW w:type="dxa" w:w="50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exact" w:before="26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Calibri" w:hAnsi="Calibri" w:eastAsia="Calibri"/>
                            <w:b w:val="0"/>
                            <w:i w:val="0"/>
                            <w:color w:val="000000"/>
                            <w:sz w:val="24"/>
                          </w:rPr>
                          <w:t xml:space="preserve">do </w:t>
                        </w:r>
                      </w:p>
                    </w:tc>
                    <w:tc>
                      <w:tcPr>
                        <w:tcW w:type="dxa" w:w="108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exact" w:before="26" w:after="0"/>
                          <w:ind w:left="106" w:right="0" w:firstLine="0"/>
                          <w:jc w:val="left"/>
                        </w:pPr>
                        <w:r>
                          <w:rPr>
                            <w:rFonts w:ascii="Calibri" w:hAnsi="Calibri" w:eastAsia="Calibri"/>
                            <w:b w:val="0"/>
                            <w:i w:val="0"/>
                            <w:color w:val="000000"/>
                            <w:sz w:val="24"/>
                          </w:rPr>
                          <w:t xml:space="preserve">contrato, 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276" w:lineRule="exact" w:before="0" w:after="0"/>
                    <w:ind w:left="110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incluídas aquelas relacionadas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às empresas subcontratadas. </w:t>
                  </w:r>
                </w:p>
              </w:tc>
              <w:tc>
                <w:tcPr>
                  <w:tcW w:type="dxa" w:w="112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42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1058" w:after="0"/>
                    <w:ind w:left="106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X </w:t>
                  </w:r>
                </w:p>
              </w:tc>
            </w:tr>
            <w:tr>
              <w:trPr>
                <w:trHeight w:hRule="exact" w:val="890"/>
              </w:trPr>
              <w:tc>
                <w:tcPr>
                  <w:tcW w:type="dxa" w:w="1761"/>
                  <w:vMerge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</w:tcPr>
                <w:p/>
              </w:tc>
              <w:tc>
                <w:tcPr>
                  <w:tcW w:type="dxa" w:w="56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2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13 </w:t>
                  </w:r>
                </w:p>
              </w:tc>
              <w:tc>
                <w:tcPr>
                  <w:tcW w:type="dxa" w:w="326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86" w:lineRule="exact" w:before="0" w:after="0"/>
                    <w:ind w:left="110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Variação  da  taxa  básica  de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juros que afete a execução do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contrato. </w:t>
                  </w:r>
                </w:p>
              </w:tc>
              <w:tc>
                <w:tcPr>
                  <w:tcW w:type="dxa" w:w="112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42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24" w:after="0"/>
                    <w:ind w:left="106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X </w:t>
                  </w:r>
                </w:p>
              </w:tc>
            </w:tr>
            <w:tr>
              <w:trPr>
                <w:trHeight w:hRule="exact" w:val="598"/>
              </w:trPr>
              <w:tc>
                <w:tcPr>
                  <w:tcW w:type="dxa" w:w="1761"/>
                  <w:vMerge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</w:tcPr>
                <w:p/>
              </w:tc>
              <w:tc>
                <w:tcPr>
                  <w:tcW w:type="dxa" w:w="56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17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14 </w:t>
                  </w:r>
                </w:p>
              </w:tc>
              <w:tc>
                <w:tcPr>
                  <w:tcW w:type="dxa" w:w="326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76" w:lineRule="exact" w:before="4" w:after="0"/>
                    <w:ind w:left="110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Variação da taxa de câmbio que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afete a execução do contrato. </w:t>
                  </w:r>
                </w:p>
              </w:tc>
              <w:tc>
                <w:tcPr>
                  <w:tcW w:type="dxa" w:w="112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42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176" w:after="0"/>
                    <w:ind w:left="106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X </w:t>
                  </w:r>
                </w:p>
              </w:tc>
            </w:tr>
            <w:tr>
              <w:trPr>
                <w:trHeight w:hRule="exact" w:val="1180"/>
              </w:trPr>
              <w:tc>
                <w:tcPr>
                  <w:tcW w:type="dxa" w:w="1761"/>
                  <w:vMerge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</w:tcPr>
                <w:p/>
              </w:tc>
              <w:tc>
                <w:tcPr>
                  <w:tcW w:type="dxa" w:w="56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46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15 </w:t>
                  </w:r>
                </w:p>
              </w:tc>
              <w:tc>
                <w:tcPr>
                  <w:tcW w:type="dxa" w:w="326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tabs>
                      <w:tab w:pos="2908" w:val="left"/>
                    </w:tabs>
                    <w:autoSpaceDE w:val="0"/>
                    <w:widowControl/>
                    <w:spacing w:line="284" w:lineRule="exact" w:before="0" w:after="0"/>
                    <w:ind w:left="110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Indisponibilidade </w:t>
                  </w:r>
                  <w:r>
                    <w:tab/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financiamentos ou variação do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custo de capital que afete a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execução do contrato. </w:t>
                  </w:r>
                </w:p>
              </w:tc>
              <w:tc>
                <w:tcPr>
                  <w:tcW w:type="dxa" w:w="112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42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466" w:after="0"/>
                    <w:ind w:left="106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X </w:t>
                  </w:r>
                </w:p>
              </w:tc>
            </w:tr>
            <w:tr>
              <w:trPr>
                <w:trHeight w:hRule="exact" w:val="1474"/>
              </w:trPr>
              <w:tc>
                <w:tcPr>
                  <w:tcW w:type="dxa" w:w="240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82" w:lineRule="exact" w:before="0" w:after="0"/>
                    <w:ind w:left="106" w:right="576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RISCO </w:t>
                  </w:r>
                  <w:r>
                    <w:br/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ARQUEOLÓGICO </w:t>
                  </w:r>
                </w:p>
              </w:tc>
              <w:tc>
                <w:tcPr>
                  <w:tcW w:type="dxa" w:w="56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61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16 </w:t>
                  </w:r>
                </w:p>
              </w:tc>
              <w:tc>
                <w:tcPr>
                  <w:tcW w:type="dxa" w:w="326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tabs>
                      <w:tab w:pos="1582" w:val="left"/>
                      <w:tab w:pos="1700" w:val="left"/>
                      <w:tab w:pos="2272" w:val="left"/>
                      <w:tab w:pos="2914" w:val="left"/>
                    </w:tabs>
                    <w:autoSpaceDE w:val="0"/>
                    <w:widowControl/>
                    <w:spacing w:line="288" w:lineRule="exact" w:before="0" w:after="0"/>
                    <w:ind w:left="110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Descoberta </w:t>
                  </w:r>
                  <w:r>
                    <w:tab/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fortuita </w:t>
                  </w:r>
                  <w:r>
                    <w:tab/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elementos </w:t>
                  </w:r>
                  <w:r>
                    <w:tab/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</w:t>
                  </w:r>
                  <w:r>
                    <w:tab/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interesse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>arqueológico,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>histórico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ou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artístico que afete a execução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do contrato. </w:t>
                  </w:r>
                </w:p>
              </w:tc>
              <w:tc>
                <w:tcPr>
                  <w:tcW w:type="dxa" w:w="112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616" w:after="0"/>
                    <w:ind w:left="108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X </w:t>
                  </w:r>
                </w:p>
              </w:tc>
              <w:tc>
                <w:tcPr>
                  <w:tcW w:type="dxa" w:w="142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  <w:tr>
              <w:trPr>
                <w:trHeight w:hRule="exact" w:val="1750"/>
              </w:trPr>
              <w:tc>
                <w:tcPr>
                  <w:tcW w:type="dxa" w:w="240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760" w:after="0"/>
                    <w:ind w:left="106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RISCOS DO NEGÓCIO </w:t>
                  </w:r>
                </w:p>
              </w:tc>
              <w:tc>
                <w:tcPr>
                  <w:tcW w:type="dxa" w:w="56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76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17 </w:t>
                  </w:r>
                </w:p>
              </w:tc>
              <w:tc>
                <w:tcPr>
                  <w:tcW w:type="dxa" w:w="326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86" w:lineRule="exact" w:before="0" w:after="26"/>
                    <w:ind w:left="110" w:right="38" w:firstLine="0"/>
                    <w:jc w:val="both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Não efetivação das receitas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alternativas, complementares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ou acessórias, bem como as 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51.999999999999886" w:type="dxa"/>
                  </w:tblPr>
                  <w:tblGrid>
                    <w:gridCol w:w="1088"/>
                    <w:gridCol w:w="1088"/>
                    <w:gridCol w:w="1088"/>
                  </w:tblGrid>
                  <w:tr>
                    <w:trPr>
                      <w:trHeight w:hRule="exact" w:val="292"/>
                    </w:trPr>
                    <w:tc>
                      <w:tcPr>
                        <w:tcW w:type="dxa" w:w="154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exact" w:before="26" w:after="0"/>
                          <w:ind w:left="58" w:right="0" w:firstLine="0"/>
                          <w:jc w:val="left"/>
                        </w:pPr>
                        <w:r>
                          <w:rPr>
                            <w:rFonts w:ascii="Calibri" w:hAnsi="Calibri" w:eastAsia="Calibri"/>
                            <w:b w:val="0"/>
                            <w:i w:val="0"/>
                            <w:color w:val="000000"/>
                            <w:sz w:val="24"/>
                          </w:rPr>
                          <w:t xml:space="preserve">provenientes </w:t>
                        </w:r>
                      </w:p>
                    </w:tc>
                    <w:tc>
                      <w:tcPr>
                        <w:tcW w:type="dxa" w:w="60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exact" w:before="26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Calibri" w:hAnsi="Calibri" w:eastAsia="Calibri"/>
                            <w:b w:val="0"/>
                            <w:i w:val="0"/>
                            <w:color w:val="000000"/>
                            <w:sz w:val="24"/>
                          </w:rPr>
                          <w:t xml:space="preserve">de </w:t>
                        </w:r>
                      </w:p>
                    </w:tc>
                    <w:tc>
                      <w:tcPr>
                        <w:tcW w:type="dxa" w:w="104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exact" w:before="26" w:after="0"/>
                          <w:ind w:left="156" w:right="0" w:firstLine="0"/>
                          <w:jc w:val="left"/>
                        </w:pPr>
                        <w:r>
                          <w:rPr>
                            <w:rFonts w:ascii="Calibri" w:hAnsi="Calibri" w:eastAsia="Calibri"/>
                            <w:b w:val="0"/>
                            <w:i w:val="0"/>
                            <w:color w:val="000000"/>
                            <w:sz w:val="24"/>
                          </w:rPr>
                          <w:t xml:space="preserve">projetos 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276" w:lineRule="exact" w:before="0" w:after="0"/>
                    <w:ind w:left="110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associados,  esperadas  pelo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prestador de serviço. </w:t>
                  </w:r>
                </w:p>
              </w:tc>
              <w:tc>
                <w:tcPr>
                  <w:tcW w:type="dxa" w:w="112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42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760" w:after="0"/>
                    <w:ind w:left="106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X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5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3968" w:after="0"/>
              <w:ind w:left="1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 </w:t>
            </w:r>
          </w:p>
        </w:tc>
        <w:tc>
          <w:tcPr>
            <w:tcW w:type="dxa" w:w="54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334" w:after="0"/>
              <w:ind w:left="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Assinado por 1 pessoa:  DALTO FAVERO BROCHI</w:t>
            </w:r>
          </w:p>
        </w:tc>
        <w:tc>
          <w:tcPr>
            <w:tcW w:type="dxa" w:w="2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Para verificar a validade das assinaturas, acesse https://stip-arespcj.1doc.com.br/verificacao/C5C1-CB1F-7652-0F71 e informe o código C5C1-CB1F-7652-0F71</w:t>
            </w:r>
          </w:p>
        </w:tc>
      </w:tr>
      <w:tr>
        <w:trPr>
          <w:trHeight w:hRule="exact" w:val="598"/>
        </w:trPr>
        <w:tc>
          <w:tcPr>
            <w:tcW w:type="dxa" w:w="880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30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RESOLUÇÃO ARES-PCJ Nº 651 – 20/08/2025 </w:t>
            </w:r>
          </w:p>
        </w:tc>
        <w:tc>
          <w:tcPr>
            <w:tcW w:type="dxa" w:w="2523"/>
            <w:vMerge/>
            <w:tcBorders/>
          </w:tcPr>
          <w:p/>
        </w:tc>
        <w:tc>
          <w:tcPr>
            <w:tcW w:type="dxa" w:w="2523"/>
            <w:vMerge/>
            <w:tcBorders/>
          </w:tcPr>
          <w:p/>
        </w:tc>
        <w:tc>
          <w:tcPr>
            <w:tcW w:type="dxa" w:w="2523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11" w:h="16841"/>
          <w:pgMar w:top="310" w:right="404" w:bottom="482" w:left="14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9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9790430</wp:posOffset>
            </wp:positionV>
            <wp:extent cx="7555230" cy="901548"/>
            <wp:wrapNone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5230" cy="90154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170"/>
        <w:ind w:left="0" w:right="3574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2519680</wp:posOffset>
            </wp:positionH>
            <wp:positionV relativeFrom="page">
              <wp:posOffset>393700</wp:posOffset>
            </wp:positionV>
            <wp:extent cx="2518410" cy="539750"/>
            <wp:wrapNone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18410" cy="53975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523"/>
        <w:gridCol w:w="2523"/>
        <w:gridCol w:w="2523"/>
        <w:gridCol w:w="2523"/>
      </w:tblGrid>
      <w:tr>
        <w:trPr>
          <w:trHeight w:hRule="exact" w:val="13760"/>
        </w:trPr>
        <w:tc>
          <w:tcPr>
            <w:tcW w:type="dxa" w:w="880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8.000000000000114" w:type="dxa"/>
            </w:tblPr>
            <w:tblGrid>
              <w:gridCol w:w="1761"/>
              <w:gridCol w:w="1761"/>
              <w:gridCol w:w="1761"/>
              <w:gridCol w:w="1761"/>
              <w:gridCol w:w="1761"/>
            </w:tblGrid>
            <w:tr>
              <w:trPr>
                <w:trHeight w:hRule="exact" w:val="1768"/>
              </w:trPr>
              <w:tc>
                <w:tcPr>
                  <w:tcW w:type="dxa" w:w="2404"/>
                  <w:vMerge w:val="restart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6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76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18 </w:t>
                  </w:r>
                </w:p>
              </w:tc>
              <w:tc>
                <w:tcPr>
                  <w:tcW w:type="dxa" w:w="326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86" w:lineRule="exact" w:before="0" w:after="26"/>
                    <w:ind w:left="110" w:right="42" w:firstLine="0"/>
                    <w:jc w:val="both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Impedimentos ou atrasos à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transferência da prestação do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serviço para o novo prestador, 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51.999999999999886" w:type="dxa"/>
                  </w:tblPr>
                  <w:tblGrid>
                    <w:gridCol w:w="653"/>
                    <w:gridCol w:w="653"/>
                    <w:gridCol w:w="653"/>
                    <w:gridCol w:w="653"/>
                    <w:gridCol w:w="653"/>
                  </w:tblGrid>
                  <w:tr>
                    <w:trPr>
                      <w:trHeight w:hRule="exact" w:val="292"/>
                    </w:trPr>
                    <w:tc>
                      <w:tcPr>
                        <w:tcW w:type="dxa" w:w="52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exact" w:before="26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Calibri" w:hAnsi="Calibri" w:eastAsia="Calibri"/>
                            <w:b w:val="0"/>
                            <w:i w:val="0"/>
                            <w:color w:val="000000"/>
                            <w:sz w:val="24"/>
                          </w:rPr>
                          <w:t xml:space="preserve">em </w:t>
                        </w:r>
                      </w:p>
                    </w:tc>
                    <w:tc>
                      <w:tcPr>
                        <w:tcW w:type="dxa" w:w="82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exact" w:before="26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Calibri" w:hAnsi="Calibri" w:eastAsia="Calibri"/>
                            <w:b w:val="0"/>
                            <w:i w:val="0"/>
                            <w:color w:val="000000"/>
                            <w:sz w:val="24"/>
                          </w:rPr>
                          <w:t xml:space="preserve">razão </w:t>
                        </w:r>
                      </w:p>
                    </w:tc>
                    <w:tc>
                      <w:tcPr>
                        <w:tcW w:type="dxa" w:w="52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exact" w:before="26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Calibri" w:hAnsi="Calibri" w:eastAsia="Calibri"/>
                            <w:b w:val="0"/>
                            <w:i w:val="0"/>
                            <w:color w:val="000000"/>
                            <w:sz w:val="24"/>
                          </w:rPr>
                          <w:t xml:space="preserve">de </w:t>
                        </w:r>
                      </w:p>
                    </w:tc>
                    <w:tc>
                      <w:tcPr>
                        <w:tcW w:type="dxa" w:w="76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exact" w:before="26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Calibri" w:hAnsi="Calibri" w:eastAsia="Calibri"/>
                            <w:b w:val="0"/>
                            <w:i w:val="0"/>
                            <w:color w:val="000000"/>
                            <w:sz w:val="24"/>
                          </w:rPr>
                          <w:t xml:space="preserve">fatos </w:t>
                        </w:r>
                      </w:p>
                    </w:tc>
                    <w:tc>
                      <w:tcPr>
                        <w:tcW w:type="dxa" w:w="56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exact" w:before="26" w:after="0"/>
                          <w:ind w:left="120" w:right="0" w:firstLine="0"/>
                          <w:jc w:val="left"/>
                        </w:pPr>
                        <w:r>
                          <w:rPr>
                            <w:rFonts w:ascii="Calibri" w:hAnsi="Calibri" w:eastAsia="Calibri"/>
                            <w:b w:val="0"/>
                            <w:i w:val="0"/>
                            <w:color w:val="000000"/>
                            <w:sz w:val="24"/>
                          </w:rPr>
                          <w:t xml:space="preserve">não 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276" w:lineRule="exact" w:before="0" w:after="0"/>
                    <w:ind w:left="110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imputados a ele, que afetem a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execução do contrato. </w:t>
                  </w:r>
                </w:p>
              </w:tc>
              <w:tc>
                <w:tcPr>
                  <w:tcW w:type="dxa" w:w="112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764" w:after="0"/>
                    <w:ind w:left="108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X </w:t>
                  </w:r>
                </w:p>
              </w:tc>
              <w:tc>
                <w:tcPr>
                  <w:tcW w:type="dxa" w:w="142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  <w:tr>
              <w:trPr>
                <w:trHeight w:hRule="exact" w:val="1768"/>
              </w:trPr>
              <w:tc>
                <w:tcPr>
                  <w:tcW w:type="dxa" w:w="1761"/>
                  <w:vMerge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</w:tcPr>
                <w:p/>
              </w:tc>
              <w:tc>
                <w:tcPr>
                  <w:tcW w:type="dxa" w:w="56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76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19 </w:t>
                  </w:r>
                </w:p>
              </w:tc>
              <w:tc>
                <w:tcPr>
                  <w:tcW w:type="dxa" w:w="326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88" w:lineRule="exact" w:before="0" w:after="26"/>
                    <w:ind w:left="110" w:right="44" w:firstLine="0"/>
                    <w:jc w:val="both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Indisponibilidade de energia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elétrica que afete a execução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dos serviços e que se dê por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tempo superior a [==] horas, 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51.999999999999886" w:type="dxa"/>
                  </w:tblPr>
                  <w:tblGrid>
                    <w:gridCol w:w="1088"/>
                    <w:gridCol w:w="1088"/>
                    <w:gridCol w:w="1088"/>
                  </w:tblGrid>
                  <w:tr>
                    <w:trPr>
                      <w:trHeight w:hRule="exact" w:val="292"/>
                    </w:trPr>
                    <w:tc>
                      <w:tcPr>
                        <w:tcW w:type="dxa" w:w="128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exact" w:before="26" w:after="0"/>
                          <w:ind w:left="58" w:right="0" w:firstLine="0"/>
                          <w:jc w:val="left"/>
                        </w:pPr>
                        <w:r>
                          <w:rPr>
                            <w:rFonts w:ascii="Calibri" w:hAnsi="Calibri" w:eastAsia="Calibri"/>
                            <w:b w:val="0"/>
                            <w:i w:val="0"/>
                            <w:color w:val="000000"/>
                            <w:sz w:val="24"/>
                          </w:rPr>
                          <w:t xml:space="preserve">conforme </w:t>
                        </w:r>
                      </w:p>
                    </w:tc>
                    <w:tc>
                      <w:tcPr>
                        <w:tcW w:type="dxa" w:w="128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exact" w:before="26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Calibri" w:hAnsi="Calibri" w:eastAsia="Calibri"/>
                            <w:b w:val="0"/>
                            <w:i w:val="0"/>
                            <w:color w:val="000000"/>
                            <w:sz w:val="24"/>
                          </w:rPr>
                          <w:t xml:space="preserve">previsto </w:t>
                        </w:r>
                      </w:p>
                    </w:tc>
                    <w:tc>
                      <w:tcPr>
                        <w:tcW w:type="dxa" w:w="62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exact" w:before="26" w:after="0"/>
                          <w:ind w:left="0" w:right="22" w:firstLine="0"/>
                          <w:jc w:val="right"/>
                        </w:pPr>
                        <w:r>
                          <w:rPr>
                            <w:rFonts w:ascii="Calibri" w:hAnsi="Calibri" w:eastAsia="Calibri"/>
                            <w:b w:val="0"/>
                            <w:i w:val="0"/>
                            <w:color w:val="000000"/>
                            <w:sz w:val="24"/>
                          </w:rPr>
                          <w:t xml:space="preserve">em 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242" w:lineRule="exact" w:before="26" w:after="0"/>
                    <w:ind w:left="110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contrato. </w:t>
                  </w:r>
                </w:p>
              </w:tc>
              <w:tc>
                <w:tcPr>
                  <w:tcW w:type="dxa" w:w="112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762" w:after="0"/>
                    <w:ind w:left="108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X </w:t>
                  </w:r>
                </w:p>
              </w:tc>
              <w:tc>
                <w:tcPr>
                  <w:tcW w:type="dxa" w:w="142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  <w:tr>
              <w:trPr>
                <w:trHeight w:hRule="exact" w:val="1770"/>
              </w:trPr>
              <w:tc>
                <w:tcPr>
                  <w:tcW w:type="dxa" w:w="1761"/>
                  <w:vMerge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</w:tcPr>
                <w:p/>
              </w:tc>
              <w:tc>
                <w:tcPr>
                  <w:tcW w:type="dxa" w:w="56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76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20 </w:t>
                  </w:r>
                </w:p>
              </w:tc>
              <w:tc>
                <w:tcPr>
                  <w:tcW w:type="dxa" w:w="326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82" w:lineRule="exact" w:before="0" w:after="28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Impactos sobre a execução do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objeto do contrato decorrente 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51.999999999999886" w:type="dxa"/>
                  </w:tblPr>
                  <w:tblGrid>
                    <w:gridCol w:w="1088"/>
                    <w:gridCol w:w="1088"/>
                    <w:gridCol w:w="1088"/>
                  </w:tblGrid>
                  <w:tr>
                    <w:trPr>
                      <w:trHeight w:hRule="exact" w:val="292"/>
                    </w:trPr>
                    <w:tc>
                      <w:tcPr>
                        <w:tcW w:type="dxa" w:w="52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exact" w:before="26" w:after="0"/>
                          <w:ind w:left="58" w:right="0" w:firstLine="0"/>
                          <w:jc w:val="left"/>
                        </w:pPr>
                        <w:r>
                          <w:rPr>
                            <w:rFonts w:ascii="Calibri" w:hAnsi="Calibri" w:eastAsia="Calibri"/>
                            <w:b w:val="0"/>
                            <w:i w:val="0"/>
                            <w:color w:val="000000"/>
                            <w:sz w:val="24"/>
                          </w:rPr>
                          <w:t xml:space="preserve">de </w:t>
                        </w:r>
                      </w:p>
                    </w:tc>
                    <w:tc>
                      <w:tcPr>
                        <w:tcW w:type="dxa" w:w="138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exact" w:before="26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Calibri" w:hAnsi="Calibri" w:eastAsia="Calibri"/>
                            <w:b w:val="0"/>
                            <w:i w:val="0"/>
                            <w:color w:val="000000"/>
                            <w:sz w:val="24"/>
                          </w:rPr>
                          <w:t xml:space="preserve">condições </w:t>
                        </w:r>
                      </w:p>
                    </w:tc>
                    <w:tc>
                      <w:tcPr>
                        <w:tcW w:type="dxa" w:w="128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exact" w:before="26" w:after="0"/>
                          <w:ind w:left="190" w:right="0" w:firstLine="0"/>
                          <w:jc w:val="left"/>
                        </w:pPr>
                        <w:r>
                          <w:rPr>
                            <w:rFonts w:ascii="Calibri" w:hAnsi="Calibri" w:eastAsia="Calibri"/>
                            <w:b w:val="0"/>
                            <w:i w:val="0"/>
                            <w:color w:val="000000"/>
                            <w:sz w:val="24"/>
                          </w:rPr>
                          <w:t xml:space="preserve">geológicas 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282" w:lineRule="exact" w:before="0" w:after="0"/>
                    <w:ind w:left="110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adversas, que causem atrasos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no cronograma das obras ou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acarretem custos adicionais. </w:t>
                  </w:r>
                </w:p>
              </w:tc>
              <w:tc>
                <w:tcPr>
                  <w:tcW w:type="dxa" w:w="112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42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762" w:after="0"/>
                    <w:ind w:left="106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X </w:t>
                  </w:r>
                </w:p>
              </w:tc>
            </w:tr>
            <w:tr>
              <w:trPr>
                <w:trHeight w:hRule="exact" w:val="1764"/>
              </w:trPr>
              <w:tc>
                <w:tcPr>
                  <w:tcW w:type="dxa" w:w="1761"/>
                  <w:vMerge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</w:tcPr>
                <w:p/>
              </w:tc>
              <w:tc>
                <w:tcPr>
                  <w:tcW w:type="dxa" w:w="56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75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21 </w:t>
                  </w:r>
                </w:p>
              </w:tc>
              <w:tc>
                <w:tcPr>
                  <w:tcW w:type="dxa" w:w="326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51.999999999999886" w:type="dxa"/>
                  </w:tblPr>
                  <w:tblGrid>
                    <w:gridCol w:w="816"/>
                    <w:gridCol w:w="816"/>
                    <w:gridCol w:w="816"/>
                    <w:gridCol w:w="816"/>
                  </w:tblGrid>
                  <w:tr>
                    <w:trPr>
                      <w:trHeight w:hRule="exact" w:val="282"/>
                    </w:trPr>
                    <w:tc>
                      <w:tcPr>
                        <w:tcW w:type="dxa" w:w="108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exact" w:before="16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Calibri" w:hAnsi="Calibri" w:eastAsia="Calibri"/>
                            <w:b w:val="0"/>
                            <w:i w:val="0"/>
                            <w:color w:val="000000"/>
                            <w:sz w:val="24"/>
                          </w:rPr>
                          <w:t xml:space="preserve">Variação </w:t>
                        </w:r>
                      </w:p>
                    </w:tc>
                    <w:tc>
                      <w:tcPr>
                        <w:tcW w:type="dxa" w:w="68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exact" w:before="16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Calibri" w:hAnsi="Calibri" w:eastAsia="Calibri"/>
                            <w:b w:val="0"/>
                            <w:i w:val="0"/>
                            <w:color w:val="000000"/>
                            <w:sz w:val="24"/>
                          </w:rPr>
                          <w:t xml:space="preserve">dos </w:t>
                        </w:r>
                      </w:p>
                    </w:tc>
                    <w:tc>
                      <w:tcPr>
                        <w:tcW w:type="dxa" w:w="96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exact" w:before="16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Calibri" w:hAnsi="Calibri" w:eastAsia="Calibri"/>
                            <w:b w:val="0"/>
                            <w:i w:val="0"/>
                            <w:color w:val="000000"/>
                            <w:sz w:val="24"/>
                          </w:rPr>
                          <w:t xml:space="preserve">custos </w:t>
                        </w:r>
                      </w:p>
                    </w:tc>
                    <w:tc>
                      <w:tcPr>
                        <w:tcW w:type="dxa" w:w="46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exact" w:before="16" w:after="0"/>
                          <w:ind w:left="0" w:right="22" w:firstLine="0"/>
                          <w:jc w:val="right"/>
                        </w:pPr>
                        <w:r>
                          <w:rPr>
                            <w:rFonts w:ascii="Calibri" w:hAnsi="Calibri" w:eastAsia="Calibri"/>
                            <w:b w:val="0"/>
                            <w:i w:val="0"/>
                            <w:color w:val="000000"/>
                            <w:sz w:val="24"/>
                          </w:rPr>
                          <w:t xml:space="preserve">de 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240" w:lineRule="exact" w:before="2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operação e manutenção do </w:t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exact" w:before="52" w:after="28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sistema, inclusive em relação a 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51.999999999999886" w:type="dxa"/>
                  </w:tblPr>
                  <w:tblGrid>
                    <w:gridCol w:w="816"/>
                    <w:gridCol w:w="816"/>
                    <w:gridCol w:w="816"/>
                    <w:gridCol w:w="816"/>
                  </w:tblGrid>
                  <w:tr>
                    <w:trPr>
                      <w:trHeight w:hRule="exact" w:val="292"/>
                    </w:trPr>
                    <w:tc>
                      <w:tcPr>
                        <w:tcW w:type="dxa" w:w="58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exact" w:before="26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Calibri" w:hAnsi="Calibri" w:eastAsia="Calibri"/>
                            <w:b w:val="0"/>
                            <w:i w:val="0"/>
                            <w:color w:val="000000"/>
                            <w:sz w:val="24"/>
                          </w:rPr>
                          <w:t xml:space="preserve">não </w:t>
                        </w:r>
                      </w:p>
                    </w:tc>
                    <w:tc>
                      <w:tcPr>
                        <w:tcW w:type="dxa" w:w="116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exact" w:before="26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Calibri" w:hAnsi="Calibri" w:eastAsia="Calibri"/>
                            <w:b w:val="0"/>
                            <w:i w:val="0"/>
                            <w:color w:val="000000"/>
                            <w:sz w:val="24"/>
                          </w:rPr>
                          <w:t xml:space="preserve">obtenção </w:t>
                        </w:r>
                      </w:p>
                    </w:tc>
                    <w:tc>
                      <w:tcPr>
                        <w:tcW w:type="dxa" w:w="52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exact" w:before="26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Calibri" w:hAnsi="Calibri" w:eastAsia="Calibri"/>
                            <w:b w:val="0"/>
                            <w:i w:val="0"/>
                            <w:color w:val="000000"/>
                            <w:sz w:val="24"/>
                          </w:rPr>
                          <w:t xml:space="preserve">do </w:t>
                        </w:r>
                      </w:p>
                    </w:tc>
                    <w:tc>
                      <w:tcPr>
                        <w:tcW w:type="dxa" w:w="92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exact" w:before="26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Calibri" w:hAnsi="Calibri" w:eastAsia="Calibri"/>
                            <w:b w:val="0"/>
                            <w:i w:val="0"/>
                            <w:color w:val="000000"/>
                            <w:sz w:val="24"/>
                          </w:rPr>
                          <w:t xml:space="preserve">retorno 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276" w:lineRule="exact" w:before="0" w:after="0"/>
                    <w:ind w:left="110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econômico   previsto   pelo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prestador de serviço. </w:t>
                  </w:r>
                </w:p>
              </w:tc>
              <w:tc>
                <w:tcPr>
                  <w:tcW w:type="dxa" w:w="112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42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758" w:after="0"/>
                    <w:ind w:left="106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X </w:t>
                  </w:r>
                </w:p>
              </w:tc>
            </w:tr>
            <w:tr>
              <w:trPr>
                <w:trHeight w:hRule="exact" w:val="3526"/>
              </w:trPr>
              <w:tc>
                <w:tcPr>
                  <w:tcW w:type="dxa" w:w="2404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0" w:after="0"/>
                    <w:ind w:left="106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RISCO CLIMÁTICO </w:t>
                  </w:r>
                </w:p>
              </w:tc>
              <w:tc>
                <w:tcPr>
                  <w:tcW w:type="dxa" w:w="566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164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22 </w:t>
                  </w:r>
                </w:p>
              </w:tc>
              <w:tc>
                <w:tcPr>
                  <w:tcW w:type="dxa" w:w="3264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Situação crítica de escassez de </w:t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exact" w:before="5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recursos hídricos nos corpos </w:t>
                  </w:r>
                </w:p>
                <w:p>
                  <w:pPr>
                    <w:autoSpaceDN w:val="0"/>
                    <w:autoSpaceDE w:val="0"/>
                    <w:widowControl/>
                    <w:spacing w:line="242" w:lineRule="exact" w:before="52" w:after="26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que abastecem a área de 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51.999999999999886" w:type="dxa"/>
                  </w:tblPr>
                  <w:tblGrid>
                    <w:gridCol w:w="1088"/>
                    <w:gridCol w:w="1088"/>
                    <w:gridCol w:w="1088"/>
                  </w:tblGrid>
                  <w:tr>
                    <w:trPr>
                      <w:trHeight w:hRule="exact" w:val="292"/>
                    </w:trPr>
                    <w:tc>
                      <w:tcPr>
                        <w:tcW w:type="dxa" w:w="130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exact" w:before="26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Calibri" w:hAnsi="Calibri" w:eastAsia="Calibri"/>
                            <w:b w:val="0"/>
                            <w:i w:val="0"/>
                            <w:color w:val="000000"/>
                            <w:sz w:val="24"/>
                          </w:rPr>
                          <w:t xml:space="preserve">concessão, </w:t>
                        </w:r>
                      </w:p>
                    </w:tc>
                    <w:tc>
                      <w:tcPr>
                        <w:tcW w:type="dxa" w:w="124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exact" w:before="26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Calibri" w:hAnsi="Calibri" w:eastAsia="Calibri"/>
                            <w:b w:val="0"/>
                            <w:i w:val="0"/>
                            <w:color w:val="000000"/>
                            <w:sz w:val="24"/>
                          </w:rPr>
                          <w:t xml:space="preserve">declarada </w:t>
                        </w:r>
                      </w:p>
                    </w:tc>
                    <w:tc>
                      <w:tcPr>
                        <w:tcW w:type="dxa" w:w="64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exact" w:before="26" w:after="0"/>
                          <w:ind w:left="142" w:right="0" w:firstLine="0"/>
                          <w:jc w:val="left"/>
                        </w:pPr>
                        <w:r>
                          <w:rPr>
                            <w:rFonts w:ascii="Calibri" w:hAnsi="Calibri" w:eastAsia="Calibri"/>
                            <w:b w:val="0"/>
                            <w:i w:val="0"/>
                            <w:color w:val="000000"/>
                            <w:sz w:val="24"/>
                          </w:rPr>
                          <w:t xml:space="preserve">pelo 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240" w:lineRule="exact" w:before="26" w:after="26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respectivo órgão gestor de 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51.999999999999886" w:type="dxa"/>
                  </w:tblPr>
                  <w:tblGrid>
                    <w:gridCol w:w="816"/>
                    <w:gridCol w:w="816"/>
                    <w:gridCol w:w="816"/>
                    <w:gridCol w:w="816"/>
                  </w:tblGrid>
                  <w:tr>
                    <w:trPr>
                      <w:trHeight w:hRule="exact" w:val="294"/>
                    </w:trPr>
                    <w:tc>
                      <w:tcPr>
                        <w:tcW w:type="dxa" w:w="106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exact" w:before="28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Calibri" w:hAnsi="Calibri" w:eastAsia="Calibri"/>
                            <w:b w:val="0"/>
                            <w:i w:val="0"/>
                            <w:color w:val="000000"/>
                            <w:sz w:val="24"/>
                          </w:rPr>
                          <w:t xml:space="preserve">recursos </w:t>
                        </w:r>
                      </w:p>
                    </w:tc>
                    <w:tc>
                      <w:tcPr>
                        <w:tcW w:type="dxa" w:w="112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exact" w:before="28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Calibri" w:hAnsi="Calibri" w:eastAsia="Calibri"/>
                            <w:b w:val="0"/>
                            <w:i w:val="0"/>
                            <w:color w:val="000000"/>
                            <w:sz w:val="24"/>
                          </w:rPr>
                          <w:t xml:space="preserve">hídricos, </w:t>
                        </w:r>
                      </w:p>
                    </w:tc>
                    <w:tc>
                      <w:tcPr>
                        <w:tcW w:type="dxa" w:w="42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exact" w:before="28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Calibri" w:hAnsi="Calibri" w:eastAsia="Calibri"/>
                            <w:b w:val="0"/>
                            <w:i w:val="0"/>
                            <w:color w:val="000000"/>
                            <w:sz w:val="24"/>
                          </w:rPr>
                          <w:t xml:space="preserve">e </w:t>
                        </w:r>
                      </w:p>
                    </w:tc>
                    <w:tc>
                      <w:tcPr>
                        <w:tcW w:type="dxa" w:w="58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exact" w:before="28" w:after="0"/>
                          <w:ind w:left="136" w:right="0" w:firstLine="0"/>
                          <w:jc w:val="left"/>
                        </w:pPr>
                        <w:r>
                          <w:rPr>
                            <w:rFonts w:ascii="Calibri" w:hAnsi="Calibri" w:eastAsia="Calibri"/>
                            <w:b w:val="0"/>
                            <w:i w:val="0"/>
                            <w:color w:val="000000"/>
                            <w:sz w:val="24"/>
                          </w:rPr>
                          <w:t xml:space="preserve">que 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242" w:lineRule="exact" w:before="26" w:after="26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determine redução da vazão 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51.999999999999886" w:type="dxa"/>
                  </w:tblPr>
                  <w:tblGrid>
                    <w:gridCol w:w="1088"/>
                    <w:gridCol w:w="1088"/>
                    <w:gridCol w:w="1088"/>
                  </w:tblGrid>
                  <w:tr>
                    <w:trPr>
                      <w:trHeight w:hRule="exact" w:val="292"/>
                    </w:trPr>
                    <w:tc>
                      <w:tcPr>
                        <w:tcW w:type="dxa" w:w="108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exact" w:before="26" w:after="0"/>
                          <w:ind w:left="58" w:right="0" w:firstLine="0"/>
                          <w:jc w:val="left"/>
                        </w:pPr>
                        <w:r>
                          <w:rPr>
                            <w:rFonts w:ascii="Calibri" w:hAnsi="Calibri" w:eastAsia="Calibri"/>
                            <w:b w:val="0"/>
                            <w:i w:val="0"/>
                            <w:color w:val="000000"/>
                            <w:sz w:val="24"/>
                          </w:rPr>
                          <w:t xml:space="preserve">captada </w:t>
                        </w:r>
                      </w:p>
                    </w:tc>
                    <w:tc>
                      <w:tcPr>
                        <w:tcW w:type="dxa" w:w="76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exact" w:before="26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Calibri" w:hAnsi="Calibri" w:eastAsia="Calibri"/>
                            <w:b w:val="0"/>
                            <w:i w:val="0"/>
                            <w:color w:val="000000"/>
                            <w:sz w:val="24"/>
                          </w:rPr>
                          <w:t xml:space="preserve">em </w:t>
                        </w:r>
                      </w:p>
                    </w:tc>
                    <w:tc>
                      <w:tcPr>
                        <w:tcW w:type="dxa" w:w="134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exact" w:before="26" w:after="0"/>
                          <w:ind w:left="216" w:right="0" w:firstLine="0"/>
                          <w:jc w:val="left"/>
                        </w:pPr>
                        <w:r>
                          <w:rPr>
                            <w:rFonts w:ascii="Calibri" w:hAnsi="Calibri" w:eastAsia="Calibri"/>
                            <w:b w:val="0"/>
                            <w:i w:val="0"/>
                            <w:color w:val="000000"/>
                            <w:sz w:val="24"/>
                          </w:rPr>
                          <w:t xml:space="preserve">percentual 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240" w:lineRule="exact" w:before="2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superior a [==] % (== por </w:t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exact" w:before="5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cento), conforme definido em </w:t>
                  </w:r>
                </w:p>
                <w:p>
                  <w:pPr>
                    <w:autoSpaceDN w:val="0"/>
                    <w:autoSpaceDE w:val="0"/>
                    <w:widowControl/>
                    <w:spacing w:line="284" w:lineRule="exact" w:before="8" w:after="0"/>
                    <w:ind w:left="110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contrato,  após  90  dias  da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redução. </w:t>
                  </w:r>
                </w:p>
              </w:tc>
              <w:tc>
                <w:tcPr>
                  <w:tcW w:type="dxa" w:w="1128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1644" w:after="0"/>
                    <w:ind w:left="108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X </w:t>
                  </w:r>
                </w:p>
              </w:tc>
              <w:tc>
                <w:tcPr>
                  <w:tcW w:type="dxa" w:w="1422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  <w:tr>
              <w:trPr>
                <w:trHeight w:hRule="exact" w:val="2062"/>
              </w:trPr>
              <w:tc>
                <w:tcPr>
                  <w:tcW w:type="dxa" w:w="2404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86" w:lineRule="exact" w:before="0" w:after="0"/>
                    <w:ind w:left="106" w:right="288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RESPONSABILIDADE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POR DANOS </w:t>
                  </w:r>
                  <w:r>
                    <w:br/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AMBIENTAIS </w:t>
                  </w:r>
                </w:p>
              </w:tc>
              <w:tc>
                <w:tcPr>
                  <w:tcW w:type="dxa" w:w="566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91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23 </w:t>
                  </w:r>
                </w:p>
              </w:tc>
              <w:tc>
                <w:tcPr>
                  <w:tcW w:type="dxa" w:w="3264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51.999999999999886" w:type="dxa"/>
                  </w:tblPr>
                  <w:tblGrid>
                    <w:gridCol w:w="1088"/>
                    <w:gridCol w:w="1088"/>
                    <w:gridCol w:w="1088"/>
                  </w:tblGrid>
                  <w:tr>
                    <w:trPr>
                      <w:trHeight w:hRule="exact" w:val="284"/>
                    </w:trPr>
                    <w:tc>
                      <w:tcPr>
                        <w:tcW w:type="dxa" w:w="148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exact" w:before="18" w:after="0"/>
                          <w:ind w:left="58" w:right="0" w:firstLine="0"/>
                          <w:jc w:val="left"/>
                        </w:pPr>
                        <w:r>
                          <w:rPr>
                            <w:rFonts w:ascii="Calibri" w:hAnsi="Calibri" w:eastAsia="Calibri"/>
                            <w:b w:val="0"/>
                            <w:i w:val="0"/>
                            <w:color w:val="000000"/>
                            <w:sz w:val="24"/>
                          </w:rPr>
                          <w:t xml:space="preserve">Remediação </w:t>
                        </w:r>
                      </w:p>
                    </w:tc>
                    <w:tc>
                      <w:tcPr>
                        <w:tcW w:type="dxa" w:w="64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exact" w:before="18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Calibri" w:hAnsi="Calibri" w:eastAsia="Calibri"/>
                            <w:b w:val="0"/>
                            <w:i w:val="0"/>
                            <w:color w:val="000000"/>
                            <w:sz w:val="24"/>
                          </w:rPr>
                          <w:t xml:space="preserve">de </w:t>
                        </w:r>
                      </w:p>
                    </w:tc>
                    <w:tc>
                      <w:tcPr>
                        <w:tcW w:type="dxa" w:w="106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exact" w:before="18" w:after="0"/>
                          <w:ind w:left="176" w:right="0" w:firstLine="0"/>
                          <w:jc w:val="left"/>
                        </w:pPr>
                        <w:r>
                          <w:rPr>
                            <w:rFonts w:ascii="Calibri" w:hAnsi="Calibri" w:eastAsia="Calibri"/>
                            <w:b w:val="0"/>
                            <w:i w:val="0"/>
                            <w:color w:val="000000"/>
                            <w:sz w:val="24"/>
                          </w:rPr>
                          <w:t xml:space="preserve">passivos </w:t>
                        </w:r>
                      </w:p>
                    </w:tc>
                  </w:tr>
                </w:tbl>
                <w:p>
                  <w:pPr>
                    <w:autoSpaceDN w:val="0"/>
                    <w:tabs>
                      <w:tab w:pos="1300" w:val="left"/>
                    </w:tabs>
                    <w:autoSpaceDE w:val="0"/>
                    <w:widowControl/>
                    <w:spacing w:line="288" w:lineRule="exact" w:before="0" w:after="0"/>
                    <w:ind w:left="110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ambientais não identificados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no edital de licitação ou no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contrato existente não licitado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e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comprovadamente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>anteriores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>ao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>termo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transferência do sistema. </w:t>
                  </w:r>
                </w:p>
              </w:tc>
              <w:tc>
                <w:tcPr>
                  <w:tcW w:type="dxa" w:w="1128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910" w:after="0"/>
                    <w:ind w:left="108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X </w:t>
                  </w:r>
                </w:p>
              </w:tc>
              <w:tc>
                <w:tcPr>
                  <w:tcW w:type="dxa" w:w="1422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  <w:tr>
              <w:trPr>
                <w:trHeight w:hRule="exact" w:val="868"/>
              </w:trPr>
              <w:tc>
                <w:tcPr>
                  <w:tcW w:type="dxa" w:w="2404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92" w:lineRule="exact" w:before="126" w:after="0"/>
                    <w:ind w:left="106" w:right="288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RESPONSABILIDADE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CIVIL </w:t>
                  </w:r>
                </w:p>
              </w:tc>
              <w:tc>
                <w:tcPr>
                  <w:tcW w:type="dxa" w:w="566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2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24 </w:t>
                  </w:r>
                </w:p>
              </w:tc>
              <w:tc>
                <w:tcPr>
                  <w:tcW w:type="dxa" w:w="3264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4" w:after="26"/>
                    <w:ind w:left="110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Danos causados a terceiros 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51.999999999999886" w:type="dxa"/>
                  </w:tblPr>
                  <w:tblGrid>
                    <w:gridCol w:w="816"/>
                    <w:gridCol w:w="816"/>
                    <w:gridCol w:w="816"/>
                    <w:gridCol w:w="816"/>
                  </w:tblGrid>
                  <w:tr>
                    <w:trPr>
                      <w:trHeight w:hRule="exact" w:val="288"/>
                    </w:trPr>
                    <w:tc>
                      <w:tcPr>
                        <w:tcW w:type="dxa" w:w="66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exact" w:before="26" w:after="0"/>
                          <w:ind w:left="58" w:right="0" w:firstLine="0"/>
                          <w:jc w:val="left"/>
                        </w:pPr>
                        <w:r>
                          <w:rPr>
                            <w:rFonts w:ascii="Calibri" w:hAnsi="Calibri" w:eastAsia="Calibri"/>
                            <w:b w:val="0"/>
                            <w:i w:val="0"/>
                            <w:color w:val="000000"/>
                            <w:sz w:val="24"/>
                          </w:rPr>
                          <w:t xml:space="preserve">pelo </w:t>
                        </w:r>
                      </w:p>
                    </w:tc>
                    <w:tc>
                      <w:tcPr>
                        <w:tcW w:type="dxa" w:w="128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exact" w:before="26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Calibri" w:hAnsi="Calibri" w:eastAsia="Calibri"/>
                            <w:b w:val="0"/>
                            <w:i w:val="0"/>
                            <w:color w:val="000000"/>
                            <w:sz w:val="24"/>
                          </w:rPr>
                          <w:t xml:space="preserve">prestador </w:t>
                        </w:r>
                      </w:p>
                    </w:tc>
                    <w:tc>
                      <w:tcPr>
                        <w:tcW w:type="dxa" w:w="58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exact" w:before="26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Calibri" w:hAnsi="Calibri" w:eastAsia="Calibri"/>
                            <w:b w:val="0"/>
                            <w:i w:val="0"/>
                            <w:color w:val="000000"/>
                            <w:sz w:val="24"/>
                          </w:rPr>
                          <w:t xml:space="preserve">ou </w:t>
                        </w:r>
                      </w:p>
                    </w:tc>
                    <w:tc>
                      <w:tcPr>
                        <w:tcW w:type="dxa" w:w="64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exact" w:before="26" w:after="0"/>
                          <w:ind w:left="150" w:right="0" w:firstLine="0"/>
                          <w:jc w:val="left"/>
                        </w:pPr>
                        <w:r>
                          <w:rPr>
                            <w:rFonts w:ascii="Calibri" w:hAnsi="Calibri" w:eastAsia="Calibri"/>
                            <w:b w:val="0"/>
                            <w:i w:val="0"/>
                            <w:color w:val="000000"/>
                            <w:sz w:val="24"/>
                          </w:rPr>
                          <w:t xml:space="preserve">seus 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240" w:lineRule="exact" w:before="2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administradores, empregados, </w:t>
                  </w:r>
                </w:p>
              </w:tc>
              <w:tc>
                <w:tcPr>
                  <w:tcW w:type="dxa" w:w="1128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422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24" w:after="0"/>
                    <w:ind w:left="106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X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5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3968" w:after="0"/>
              <w:ind w:left="1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9 </w:t>
            </w:r>
          </w:p>
        </w:tc>
        <w:tc>
          <w:tcPr>
            <w:tcW w:type="dxa" w:w="54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334" w:after="0"/>
              <w:ind w:left="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Assinado por 1 pessoa:  DALTO FAVERO BROCHI</w:t>
            </w:r>
          </w:p>
        </w:tc>
        <w:tc>
          <w:tcPr>
            <w:tcW w:type="dxa" w:w="2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Para verificar a validade das assinaturas, acesse https://stip-arespcj.1doc.com.br/verificacao/C5C1-CB1F-7652-0F71 e informe o código C5C1-CB1F-7652-0F71</w:t>
            </w:r>
          </w:p>
        </w:tc>
      </w:tr>
      <w:tr>
        <w:trPr>
          <w:trHeight w:hRule="exact" w:val="458"/>
        </w:trPr>
        <w:tc>
          <w:tcPr>
            <w:tcW w:type="dxa" w:w="880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6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RESOLUÇÃO ARES-PCJ Nº 651 – 20/08/2025 </w:t>
            </w:r>
          </w:p>
        </w:tc>
        <w:tc>
          <w:tcPr>
            <w:tcW w:type="dxa" w:w="2523"/>
            <w:vMerge/>
            <w:tcBorders/>
          </w:tcPr>
          <w:p/>
        </w:tc>
        <w:tc>
          <w:tcPr>
            <w:tcW w:type="dxa" w:w="2523"/>
            <w:vMerge/>
            <w:tcBorders/>
          </w:tcPr>
          <w:p/>
        </w:tc>
        <w:tc>
          <w:tcPr>
            <w:tcW w:type="dxa" w:w="2523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11" w:h="16841"/>
          <w:pgMar w:top="310" w:right="404" w:bottom="482" w:left="14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9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9790430</wp:posOffset>
            </wp:positionV>
            <wp:extent cx="7555230" cy="901548"/>
            <wp:wrapNone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5230" cy="90154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170"/>
        <w:ind w:left="0" w:right="3574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2519680</wp:posOffset>
            </wp:positionH>
            <wp:positionV relativeFrom="page">
              <wp:posOffset>393700</wp:posOffset>
            </wp:positionV>
            <wp:extent cx="2518410" cy="539750"/>
            <wp:wrapNone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18410" cy="53975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523"/>
        <w:gridCol w:w="2523"/>
        <w:gridCol w:w="2523"/>
        <w:gridCol w:w="2523"/>
      </w:tblGrid>
      <w:tr>
        <w:trPr>
          <w:trHeight w:hRule="exact" w:val="13760"/>
        </w:trPr>
        <w:tc>
          <w:tcPr>
            <w:tcW w:type="dxa" w:w="880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8.000000000000114" w:type="dxa"/>
            </w:tblPr>
            <w:tblGrid>
              <w:gridCol w:w="1761"/>
              <w:gridCol w:w="1761"/>
              <w:gridCol w:w="1761"/>
              <w:gridCol w:w="1761"/>
              <w:gridCol w:w="1761"/>
            </w:tblGrid>
            <w:tr>
              <w:trPr>
                <w:trHeight w:hRule="exact" w:val="1768"/>
              </w:trPr>
              <w:tc>
                <w:tcPr>
                  <w:tcW w:type="dxa" w:w="240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6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326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88" w:lineRule="exact" w:before="0" w:after="0"/>
                    <w:ind w:left="110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subcontratados, prepostos ou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prestadores de serviços, ou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qualquer outra pessoa física ou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jurídica a ele vinculada, no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>exercício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>das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atividades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abrangidas pelo contrato. </w:t>
                  </w:r>
                </w:p>
              </w:tc>
              <w:tc>
                <w:tcPr>
                  <w:tcW w:type="dxa" w:w="112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42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  <w:tr>
              <w:trPr>
                <w:trHeight w:hRule="exact" w:val="4408"/>
              </w:trPr>
              <w:tc>
                <w:tcPr>
                  <w:tcW w:type="dxa" w:w="2404"/>
                  <w:vMerge w:val="restart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94" w:lineRule="exact" w:before="5420" w:after="0"/>
                    <w:ind w:left="106" w:right="144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FATO DO RÍNCIPE OU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FATO DA </w:t>
                  </w:r>
                  <w:r>
                    <w:br/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ADMINISTRAÇÃO </w:t>
                  </w:r>
                </w:p>
              </w:tc>
              <w:tc>
                <w:tcPr>
                  <w:tcW w:type="dxa" w:w="56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208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25 </w:t>
                  </w:r>
                </w:p>
              </w:tc>
              <w:tc>
                <w:tcPr>
                  <w:tcW w:type="dxa" w:w="326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Mudanças, após a publicação </w:t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exact" w:before="5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do edital ou celebração do </w:t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exact" w:before="5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contrato existente não licitado, </w:t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exact" w:before="54" w:after="26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nas legislações e regulamentos 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51.999999999999886" w:type="dxa"/>
                  </w:tblPr>
                  <w:tblGrid>
                    <w:gridCol w:w="816"/>
                    <w:gridCol w:w="816"/>
                    <w:gridCol w:w="816"/>
                    <w:gridCol w:w="816"/>
                  </w:tblGrid>
                  <w:tr>
                    <w:trPr>
                      <w:trHeight w:hRule="exact" w:val="292"/>
                    </w:trPr>
                    <w:tc>
                      <w:tcPr>
                        <w:tcW w:type="dxa" w:w="48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exact" w:before="26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Calibri" w:hAnsi="Calibri" w:eastAsia="Calibri"/>
                            <w:b w:val="0"/>
                            <w:i w:val="0"/>
                            <w:color w:val="000000"/>
                            <w:sz w:val="24"/>
                          </w:rPr>
                          <w:t xml:space="preserve">ou </w:t>
                        </w:r>
                      </w:p>
                    </w:tc>
                    <w:tc>
                      <w:tcPr>
                        <w:tcW w:type="dxa" w:w="56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exact" w:before="26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Calibri" w:hAnsi="Calibri" w:eastAsia="Calibri"/>
                            <w:b w:val="0"/>
                            <w:i w:val="0"/>
                            <w:color w:val="000000"/>
                            <w:sz w:val="24"/>
                          </w:rPr>
                          <w:t xml:space="preserve">no </w:t>
                        </w:r>
                      </w:p>
                    </w:tc>
                    <w:tc>
                      <w:tcPr>
                        <w:tcW w:type="dxa" w:w="168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exact" w:before="26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Calibri" w:hAnsi="Calibri" w:eastAsia="Calibri"/>
                            <w:b w:val="0"/>
                            <w:i w:val="0"/>
                            <w:color w:val="000000"/>
                            <w:sz w:val="24"/>
                          </w:rPr>
                          <w:t xml:space="preserve">entendimento </w:t>
                        </w:r>
                      </w:p>
                    </w:tc>
                    <w:tc>
                      <w:tcPr>
                        <w:tcW w:type="dxa" w:w="46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exact" w:before="26" w:after="0"/>
                          <w:ind w:left="0" w:right="22" w:firstLine="0"/>
                          <w:jc w:val="right"/>
                        </w:pPr>
                        <w:r>
                          <w:rPr>
                            <w:rFonts w:ascii="Calibri" w:hAnsi="Calibri" w:eastAsia="Calibri"/>
                            <w:b w:val="0"/>
                            <w:i w:val="0"/>
                            <w:color w:val="000000"/>
                            <w:sz w:val="24"/>
                          </w:rPr>
                          <w:t xml:space="preserve">de 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240" w:lineRule="exact" w:before="2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autoridades públicas, desde </w:t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exact" w:before="52" w:after="26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que consolidado por tribunais 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51.999999999999886" w:type="dxa"/>
                  </w:tblPr>
                  <w:tblGrid>
                    <w:gridCol w:w="1088"/>
                    <w:gridCol w:w="1088"/>
                    <w:gridCol w:w="1088"/>
                  </w:tblGrid>
                  <w:tr>
                    <w:trPr>
                      <w:trHeight w:hRule="exact" w:val="286"/>
                    </w:trPr>
                    <w:tc>
                      <w:tcPr>
                        <w:tcW w:type="dxa" w:w="140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2" w:lineRule="exact" w:before="26" w:after="0"/>
                          <w:ind w:left="58" w:right="0" w:firstLine="0"/>
                          <w:jc w:val="left"/>
                        </w:pPr>
                        <w:r>
                          <w:rPr>
                            <w:rFonts w:ascii="Calibri" w:hAnsi="Calibri" w:eastAsia="Calibri"/>
                            <w:b w:val="0"/>
                            <w:i w:val="0"/>
                            <w:color w:val="000000"/>
                            <w:sz w:val="24"/>
                          </w:rPr>
                          <w:t xml:space="preserve">superiores, </w:t>
                        </w:r>
                      </w:p>
                    </w:tc>
                    <w:tc>
                      <w:tcPr>
                        <w:tcW w:type="dxa" w:w="580"/>
                        <w:vMerge w:val="restart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exact" w:before="320" w:after="0"/>
                          <w:ind w:left="0" w:right="162" w:firstLine="0"/>
                          <w:jc w:val="right"/>
                        </w:pPr>
                        <w:r>
                          <w:rPr>
                            <w:rFonts w:ascii="Calibri" w:hAnsi="Calibri" w:eastAsia="Calibri"/>
                            <w:b w:val="0"/>
                            <w:i w:val="0"/>
                            <w:color w:val="000000"/>
                            <w:sz w:val="24"/>
                          </w:rPr>
                          <w:t xml:space="preserve">e </w:t>
                        </w:r>
                      </w:p>
                    </w:tc>
                    <w:tc>
                      <w:tcPr>
                        <w:tcW w:type="dxa" w:w="118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2" w:lineRule="exact" w:before="26" w:after="0"/>
                          <w:ind w:left="184" w:right="0" w:firstLine="0"/>
                          <w:jc w:val="left"/>
                        </w:pPr>
                        <w:r>
                          <w:rPr>
                            <w:rFonts w:ascii="Calibri" w:hAnsi="Calibri" w:eastAsia="Calibri"/>
                            <w:b w:val="0"/>
                            <w:i w:val="0"/>
                            <w:color w:val="000000"/>
                            <w:sz w:val="24"/>
                          </w:rPr>
                          <w:t xml:space="preserve">portarias, </w:t>
                        </w:r>
                      </w:p>
                    </w:tc>
                  </w:tr>
                  <w:tr>
                    <w:trPr>
                      <w:trHeight w:hRule="exact" w:val="300"/>
                    </w:trPr>
                    <w:tc>
                      <w:tcPr>
                        <w:tcW w:type="dxa" w:w="140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exact" w:before="34" w:after="0"/>
                          <w:ind w:left="58" w:right="0" w:firstLine="0"/>
                          <w:jc w:val="left"/>
                        </w:pPr>
                        <w:r>
                          <w:rPr>
                            <w:rFonts w:ascii="Calibri" w:hAnsi="Calibri" w:eastAsia="Calibri"/>
                            <w:b w:val="0"/>
                            <w:i w:val="0"/>
                            <w:color w:val="000000"/>
                            <w:sz w:val="24"/>
                          </w:rPr>
                          <w:t xml:space="preserve">pareceres </w:t>
                        </w:r>
                      </w:p>
                    </w:tc>
                    <w:tc>
                      <w:tcPr>
                        <w:tcW w:type="dxa" w:w="1088"/>
                        <w:vMerge/>
                        <w:tcBorders/>
                      </w:tcPr>
                      <w:p/>
                    </w:tc>
                    <w:tc>
                      <w:tcPr>
                        <w:tcW w:type="dxa" w:w="118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exact" w:before="34" w:after="0"/>
                          <w:ind w:left="0" w:right="14" w:firstLine="0"/>
                          <w:jc w:val="right"/>
                        </w:pPr>
                        <w:r>
                          <w:rPr>
                            <w:rFonts w:ascii="Calibri" w:hAnsi="Calibri" w:eastAsia="Calibri"/>
                            <w:b w:val="0"/>
                            <w:i w:val="0"/>
                            <w:color w:val="000000"/>
                            <w:sz w:val="24"/>
                          </w:rPr>
                          <w:t xml:space="preserve">demais 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240" w:lineRule="exact" w:before="26" w:after="26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documentos aplicáveis, que 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51.999999999999886" w:type="dxa"/>
                  </w:tblPr>
                  <w:tblGrid>
                    <w:gridCol w:w="1088"/>
                    <w:gridCol w:w="1088"/>
                    <w:gridCol w:w="1088"/>
                  </w:tblGrid>
                  <w:tr>
                    <w:trPr>
                      <w:trHeight w:hRule="exact" w:val="294"/>
                    </w:trPr>
                    <w:tc>
                      <w:tcPr>
                        <w:tcW w:type="dxa" w:w="100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exact" w:before="28" w:after="0"/>
                          <w:ind w:left="58" w:right="0" w:firstLine="0"/>
                          <w:jc w:val="left"/>
                        </w:pPr>
                        <w:r>
                          <w:rPr>
                            <w:rFonts w:ascii="Calibri" w:hAnsi="Calibri" w:eastAsia="Calibri"/>
                            <w:b w:val="0"/>
                            <w:i w:val="0"/>
                            <w:color w:val="000000"/>
                            <w:sz w:val="24"/>
                          </w:rPr>
                          <w:t xml:space="preserve">afetem </w:t>
                        </w:r>
                      </w:p>
                    </w:tc>
                    <w:tc>
                      <w:tcPr>
                        <w:tcW w:type="dxa" w:w="168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exact" w:before="28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Calibri" w:hAnsi="Calibri" w:eastAsia="Calibri"/>
                            <w:b w:val="0"/>
                            <w:i w:val="0"/>
                            <w:color w:val="000000"/>
                            <w:sz w:val="24"/>
                          </w:rPr>
                          <w:t xml:space="preserve">diretamente </w:t>
                        </w:r>
                      </w:p>
                    </w:tc>
                    <w:tc>
                      <w:tcPr>
                        <w:tcW w:type="dxa" w:w="50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exact" w:before="28" w:after="0"/>
                          <w:ind w:left="0" w:right="18" w:firstLine="0"/>
                          <w:jc w:val="right"/>
                        </w:pPr>
                        <w:r>
                          <w:rPr>
                            <w:rFonts w:ascii="Calibri" w:hAnsi="Calibri" w:eastAsia="Calibri"/>
                            <w:b w:val="0"/>
                            <w:i w:val="0"/>
                            <w:color w:val="000000"/>
                            <w:sz w:val="24"/>
                          </w:rPr>
                          <w:t xml:space="preserve">os 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240" w:lineRule="exact" w:before="26" w:after="26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encargos, tributos, custos e 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51.999999999999886" w:type="dxa"/>
                  </w:tblPr>
                  <w:tblGrid>
                    <w:gridCol w:w="816"/>
                    <w:gridCol w:w="816"/>
                    <w:gridCol w:w="816"/>
                    <w:gridCol w:w="816"/>
                  </w:tblGrid>
                  <w:tr>
                    <w:trPr>
                      <w:trHeight w:hRule="exact" w:val="294"/>
                    </w:trPr>
                    <w:tc>
                      <w:tcPr>
                        <w:tcW w:type="dxa" w:w="98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2" w:lineRule="exact" w:before="26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Calibri" w:hAnsi="Calibri" w:eastAsia="Calibri"/>
                            <w:b w:val="0"/>
                            <w:i w:val="0"/>
                            <w:color w:val="000000"/>
                            <w:sz w:val="24"/>
                          </w:rPr>
                          <w:t xml:space="preserve">receitas </w:t>
                        </w:r>
                      </w:p>
                    </w:tc>
                    <w:tc>
                      <w:tcPr>
                        <w:tcW w:type="dxa" w:w="52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2" w:lineRule="exact" w:before="26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Calibri" w:hAnsi="Calibri" w:eastAsia="Calibri"/>
                            <w:b w:val="0"/>
                            <w:i w:val="0"/>
                            <w:color w:val="000000"/>
                            <w:sz w:val="24"/>
                          </w:rPr>
                          <w:t xml:space="preserve">da </w:t>
                        </w:r>
                      </w:p>
                    </w:tc>
                    <w:tc>
                      <w:tcPr>
                        <w:tcW w:type="dxa" w:w="124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2" w:lineRule="exact" w:before="26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Calibri" w:hAnsi="Calibri" w:eastAsia="Calibri"/>
                            <w:b w:val="0"/>
                            <w:i w:val="0"/>
                            <w:color w:val="000000"/>
                            <w:sz w:val="24"/>
                          </w:rPr>
                          <w:t xml:space="preserve">prestação </w:t>
                        </w:r>
                      </w:p>
                    </w:tc>
                    <w:tc>
                      <w:tcPr>
                        <w:tcW w:type="dxa" w:w="44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2" w:lineRule="exact" w:before="26" w:after="0"/>
                          <w:ind w:left="0" w:right="20" w:firstLine="0"/>
                          <w:jc w:val="right"/>
                        </w:pPr>
                        <w:r>
                          <w:rPr>
                            <w:rFonts w:ascii="Calibri" w:hAnsi="Calibri" w:eastAsia="Calibri"/>
                            <w:b w:val="0"/>
                            <w:i w:val="0"/>
                            <w:color w:val="000000"/>
                            <w:sz w:val="24"/>
                          </w:rPr>
                          <w:t xml:space="preserve">do 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276" w:lineRule="exact" w:before="0" w:after="0"/>
                    <w:ind w:left="110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>serviço,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>ressalvados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os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impostos sobre a renda. </w:t>
                  </w:r>
                </w:p>
              </w:tc>
              <w:tc>
                <w:tcPr>
                  <w:tcW w:type="dxa" w:w="112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2082" w:after="0"/>
                    <w:ind w:left="108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X </w:t>
                  </w:r>
                </w:p>
              </w:tc>
              <w:tc>
                <w:tcPr>
                  <w:tcW w:type="dxa" w:w="142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  <w:tr>
              <w:trPr>
                <w:trHeight w:hRule="exact" w:val="2642"/>
              </w:trPr>
              <w:tc>
                <w:tcPr>
                  <w:tcW w:type="dxa" w:w="1761"/>
                  <w:vMerge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</w:tcPr>
                <w:p/>
              </w:tc>
              <w:tc>
                <w:tcPr>
                  <w:tcW w:type="dxa" w:w="56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119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26 </w:t>
                  </w:r>
                </w:p>
              </w:tc>
              <w:tc>
                <w:tcPr>
                  <w:tcW w:type="dxa" w:w="326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2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Alteração contratual imposta </w:t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exact" w:before="5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pelo titular do serviço ou pela </w:t>
                  </w:r>
                </w:p>
                <w:p>
                  <w:pPr>
                    <w:autoSpaceDN w:val="0"/>
                    <w:tabs>
                      <w:tab w:pos="2092" w:val="left"/>
                    </w:tabs>
                    <w:autoSpaceDE w:val="0"/>
                    <w:widowControl/>
                    <w:spacing w:line="240" w:lineRule="exact" w:before="54" w:after="0"/>
                    <w:ind w:left="110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entidade </w:t>
                  </w:r>
                  <w:r>
                    <w:tab/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reguladora </w:t>
                  </w:r>
                </w:p>
                <w:p>
                  <w:pPr>
                    <w:autoSpaceDN w:val="0"/>
                    <w:tabs>
                      <w:tab w:pos="1764" w:val="left"/>
                      <w:tab w:pos="2424" w:val="left"/>
                    </w:tabs>
                    <w:autoSpaceDE w:val="0"/>
                    <w:widowControl/>
                    <w:spacing w:line="240" w:lineRule="exact" w:before="52" w:after="0"/>
                    <w:ind w:left="110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infranacional, </w:t>
                  </w:r>
                  <w:r>
                    <w:tab/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por </w:t>
                  </w:r>
                  <w:r>
                    <w:tab/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decisão </w:t>
                  </w:r>
                </w:p>
                <w:p>
                  <w:pPr>
                    <w:autoSpaceDN w:val="0"/>
                    <w:autoSpaceDE w:val="0"/>
                    <w:widowControl/>
                    <w:spacing w:line="242" w:lineRule="exact" w:before="52" w:after="26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judicial ou dos órgãos de 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51.999999999999886" w:type="dxa"/>
                  </w:tblPr>
                  <w:tblGrid>
                    <w:gridCol w:w="1088"/>
                    <w:gridCol w:w="1088"/>
                    <w:gridCol w:w="1088"/>
                  </w:tblGrid>
                  <w:tr>
                    <w:trPr>
                      <w:trHeight w:hRule="exact" w:val="292"/>
                    </w:trPr>
                    <w:tc>
                      <w:tcPr>
                        <w:tcW w:type="dxa" w:w="110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exact" w:before="26" w:after="0"/>
                          <w:ind w:left="58" w:right="0" w:firstLine="0"/>
                          <w:jc w:val="left"/>
                        </w:pPr>
                        <w:r>
                          <w:rPr>
                            <w:rFonts w:ascii="Calibri" w:hAnsi="Calibri" w:eastAsia="Calibri"/>
                            <w:b w:val="0"/>
                            <w:i w:val="0"/>
                            <w:color w:val="000000"/>
                            <w:sz w:val="24"/>
                          </w:rPr>
                          <w:t xml:space="preserve">controle </w:t>
                        </w:r>
                      </w:p>
                    </w:tc>
                    <w:tc>
                      <w:tcPr>
                        <w:tcW w:type="dxa" w:w="150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exact" w:before="26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Calibri" w:hAnsi="Calibri" w:eastAsia="Calibri"/>
                            <w:b w:val="0"/>
                            <w:i w:val="0"/>
                            <w:color w:val="000000"/>
                            <w:sz w:val="24"/>
                          </w:rPr>
                          <w:t xml:space="preserve">transitadas </w:t>
                        </w:r>
                      </w:p>
                    </w:tc>
                    <w:tc>
                      <w:tcPr>
                        <w:tcW w:type="dxa" w:w="58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exact" w:before="26" w:after="0"/>
                          <w:ind w:left="0" w:right="20" w:firstLine="0"/>
                          <w:jc w:val="right"/>
                        </w:pPr>
                        <w:r>
                          <w:rPr>
                            <w:rFonts w:ascii="Calibri" w:hAnsi="Calibri" w:eastAsia="Calibri"/>
                            <w:b w:val="0"/>
                            <w:i w:val="0"/>
                            <w:color w:val="000000"/>
                            <w:sz w:val="24"/>
                          </w:rPr>
                          <w:t xml:space="preserve">em 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240" w:lineRule="exact" w:before="2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julgado que afete o equilíbrio </w:t>
                  </w:r>
                </w:p>
                <w:p>
                  <w:pPr>
                    <w:autoSpaceDN w:val="0"/>
                    <w:tabs>
                      <w:tab w:pos="2906" w:val="left"/>
                    </w:tabs>
                    <w:autoSpaceDE w:val="0"/>
                    <w:widowControl/>
                    <w:spacing w:line="240" w:lineRule="exact" w:before="54" w:after="0"/>
                    <w:ind w:left="110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econômico-financeiro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do </w:t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exact" w:before="42" w:after="0"/>
                    <w:ind w:left="110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contrato. </w:t>
                  </w:r>
                </w:p>
              </w:tc>
              <w:tc>
                <w:tcPr>
                  <w:tcW w:type="dxa" w:w="112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1196" w:after="0"/>
                    <w:ind w:left="108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X </w:t>
                  </w:r>
                </w:p>
              </w:tc>
              <w:tc>
                <w:tcPr>
                  <w:tcW w:type="dxa" w:w="142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  <w:tr>
              <w:trPr>
                <w:trHeight w:hRule="exact" w:val="598"/>
              </w:trPr>
              <w:tc>
                <w:tcPr>
                  <w:tcW w:type="dxa" w:w="1761"/>
                  <w:vMerge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</w:tcPr>
                <w:p/>
              </w:tc>
              <w:tc>
                <w:tcPr>
                  <w:tcW w:type="dxa" w:w="56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18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27 </w:t>
                  </w:r>
                </w:p>
              </w:tc>
              <w:tc>
                <w:tcPr>
                  <w:tcW w:type="dxa" w:w="326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51.999999999999886" w:type="dxa"/>
                  </w:tblPr>
                  <w:tblGrid>
                    <w:gridCol w:w="1088"/>
                    <w:gridCol w:w="1088"/>
                    <w:gridCol w:w="1088"/>
                  </w:tblGrid>
                  <w:tr>
                    <w:trPr>
                      <w:trHeight w:hRule="exact" w:val="284"/>
                    </w:trPr>
                    <w:tc>
                      <w:tcPr>
                        <w:tcW w:type="dxa" w:w="122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exact" w:before="18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Calibri" w:hAnsi="Calibri" w:eastAsia="Calibri"/>
                            <w:b w:val="0"/>
                            <w:i w:val="0"/>
                            <w:color w:val="000000"/>
                            <w:sz w:val="24"/>
                          </w:rPr>
                          <w:t xml:space="preserve">Alterações </w:t>
                        </w:r>
                      </w:p>
                    </w:tc>
                    <w:tc>
                      <w:tcPr>
                        <w:tcW w:type="dxa" w:w="140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exact" w:before="18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Calibri" w:hAnsi="Calibri" w:eastAsia="Calibri"/>
                            <w:b w:val="0"/>
                            <w:i w:val="0"/>
                            <w:color w:val="000000"/>
                            <w:sz w:val="24"/>
                          </w:rPr>
                          <w:t xml:space="preserve">urbanísticas </w:t>
                        </w:r>
                      </w:p>
                    </w:tc>
                    <w:tc>
                      <w:tcPr>
                        <w:tcW w:type="dxa" w:w="54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exact" w:before="18" w:after="0"/>
                          <w:ind w:left="112" w:right="0" w:firstLine="0"/>
                          <w:jc w:val="left"/>
                        </w:pPr>
                        <w:r>
                          <w:rPr>
                            <w:rFonts w:ascii="Calibri" w:hAnsi="Calibri" w:eastAsia="Calibri"/>
                            <w:b w:val="0"/>
                            <w:i w:val="0"/>
                            <w:color w:val="000000"/>
                            <w:sz w:val="24"/>
                          </w:rPr>
                          <w:t xml:space="preserve">que 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240" w:lineRule="exact" w:before="2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alterem o escopo do contrato. </w:t>
                  </w:r>
                </w:p>
              </w:tc>
              <w:tc>
                <w:tcPr>
                  <w:tcW w:type="dxa" w:w="112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180" w:after="0"/>
                    <w:ind w:left="108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X </w:t>
                  </w:r>
                </w:p>
              </w:tc>
              <w:tc>
                <w:tcPr>
                  <w:tcW w:type="dxa" w:w="142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  <w:tr>
              <w:trPr>
                <w:trHeight w:hRule="exact" w:val="3528"/>
              </w:trPr>
              <w:tc>
                <w:tcPr>
                  <w:tcW w:type="dxa" w:w="1761"/>
                  <w:vMerge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</w:tcPr>
                <w:p/>
              </w:tc>
              <w:tc>
                <w:tcPr>
                  <w:tcW w:type="dxa" w:w="56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163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28 </w:t>
                  </w:r>
                </w:p>
              </w:tc>
              <w:tc>
                <w:tcPr>
                  <w:tcW w:type="dxa" w:w="326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tabs>
                      <w:tab w:pos="2244" w:val="left"/>
                    </w:tabs>
                    <w:autoSpaceDE w:val="0"/>
                    <w:widowControl/>
                    <w:spacing w:line="292" w:lineRule="exact" w:before="0" w:after="0"/>
                    <w:ind w:left="110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Alteração da área de concessão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em razão da transformação de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áreas rurais em urbanas ou de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áreas urbanas em rurais, da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inclusão de áreas de expansão,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da incorporação de novos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municípios ou exclusão de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municípios originais, estes dois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últimos no caso de prestação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regionalizada </w:t>
                  </w:r>
                  <w:r>
                    <w:tab/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instituída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conforme inciso VI do art. 3º da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Lei 11.445/2007. </w:t>
                  </w:r>
                </w:p>
              </w:tc>
              <w:tc>
                <w:tcPr>
                  <w:tcW w:type="dxa" w:w="112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1638" w:after="0"/>
                    <w:ind w:left="108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X </w:t>
                  </w:r>
                </w:p>
              </w:tc>
              <w:tc>
                <w:tcPr>
                  <w:tcW w:type="dxa" w:w="142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  <w:tr>
              <w:trPr>
                <w:trHeight w:hRule="exact" w:val="574"/>
              </w:trPr>
              <w:tc>
                <w:tcPr>
                  <w:tcW w:type="dxa" w:w="1761"/>
                  <w:vMerge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</w:tcPr>
                <w:p/>
              </w:tc>
              <w:tc>
                <w:tcPr>
                  <w:tcW w:type="dxa" w:w="56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17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29 </w:t>
                  </w:r>
                </w:p>
              </w:tc>
              <w:tc>
                <w:tcPr>
                  <w:tcW w:type="dxa" w:w="326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74" w:lineRule="exact" w:before="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Alteração no Plano Municipal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>ou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>Regional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>de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Saneamento </w:t>
                  </w:r>
                </w:p>
              </w:tc>
              <w:tc>
                <w:tcPr>
                  <w:tcW w:type="dxa" w:w="112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172" w:after="0"/>
                    <w:ind w:left="108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X </w:t>
                  </w:r>
                </w:p>
              </w:tc>
              <w:tc>
                <w:tcPr>
                  <w:tcW w:type="dxa" w:w="142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5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3968" w:after="0"/>
              <w:ind w:left="1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10 </w:t>
            </w:r>
          </w:p>
        </w:tc>
        <w:tc>
          <w:tcPr>
            <w:tcW w:type="dxa" w:w="50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294" w:after="0"/>
              <w:ind w:left="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Assinado por 1 pessoa:  DALTO FAVERO BROCHI</w:t>
            </w:r>
          </w:p>
        </w:tc>
        <w:tc>
          <w:tcPr>
            <w:tcW w:type="dxa" w:w="2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Para verificar a validade das assinaturas, acesse https://stip-arespcj.1doc.com.br/verificacao/C5C1-CB1F-7652-0F71 e informe o código C5C1-CB1F-7652-0F71</w:t>
            </w:r>
          </w:p>
        </w:tc>
      </w:tr>
      <w:tr>
        <w:trPr>
          <w:trHeight w:hRule="exact" w:val="458"/>
        </w:trPr>
        <w:tc>
          <w:tcPr>
            <w:tcW w:type="dxa" w:w="880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6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RESOLUÇÃO ARES-PCJ Nº 651 – 20/08/2025 </w:t>
            </w:r>
          </w:p>
        </w:tc>
        <w:tc>
          <w:tcPr>
            <w:tcW w:type="dxa" w:w="2523"/>
            <w:vMerge/>
            <w:tcBorders/>
          </w:tcPr>
          <w:p/>
        </w:tc>
        <w:tc>
          <w:tcPr>
            <w:tcW w:type="dxa" w:w="2523"/>
            <w:vMerge/>
            <w:tcBorders/>
          </w:tcPr>
          <w:p/>
        </w:tc>
        <w:tc>
          <w:tcPr>
            <w:tcW w:type="dxa" w:w="2523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11" w:h="16841"/>
          <w:pgMar w:top="310" w:right="404" w:bottom="482" w:left="14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9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9790430</wp:posOffset>
            </wp:positionV>
            <wp:extent cx="7555230" cy="901548"/>
            <wp:wrapNone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5230" cy="90154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170"/>
        <w:ind w:left="0" w:right="3574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2519680</wp:posOffset>
            </wp:positionH>
            <wp:positionV relativeFrom="page">
              <wp:posOffset>393700</wp:posOffset>
            </wp:positionV>
            <wp:extent cx="2518410" cy="539750"/>
            <wp:wrapNone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18410" cy="53975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523"/>
        <w:gridCol w:w="2523"/>
        <w:gridCol w:w="2523"/>
        <w:gridCol w:w="2523"/>
      </w:tblGrid>
      <w:tr>
        <w:trPr>
          <w:trHeight w:hRule="exact" w:val="11260"/>
        </w:trPr>
        <w:tc>
          <w:tcPr>
            <w:tcW w:type="dxa" w:w="880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8.000000000000114" w:type="dxa"/>
            </w:tblPr>
            <w:tblGrid>
              <w:gridCol w:w="1761"/>
              <w:gridCol w:w="1761"/>
              <w:gridCol w:w="1761"/>
              <w:gridCol w:w="1761"/>
              <w:gridCol w:w="1761"/>
            </w:tblGrid>
            <w:tr>
              <w:trPr>
                <w:trHeight w:hRule="exact" w:val="1768"/>
              </w:trPr>
              <w:tc>
                <w:tcPr>
                  <w:tcW w:type="dxa" w:w="240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6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326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86" w:lineRule="exact" w:before="0" w:after="26"/>
                    <w:ind w:left="110" w:right="44" w:firstLine="0"/>
                    <w:jc w:val="both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Básico que gere a necessidade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investimentos e custos não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previstos em contrato e/ou 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51.999999999999886" w:type="dxa"/>
                  </w:tblPr>
                  <w:tblGrid>
                    <w:gridCol w:w="1088"/>
                    <w:gridCol w:w="1088"/>
                    <w:gridCol w:w="1088"/>
                  </w:tblGrid>
                  <w:tr>
                    <w:trPr>
                      <w:trHeight w:hRule="exact" w:val="292"/>
                    </w:trPr>
                    <w:tc>
                      <w:tcPr>
                        <w:tcW w:type="dxa" w:w="114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exact" w:before="26" w:after="0"/>
                          <w:ind w:left="58" w:right="0" w:firstLine="0"/>
                          <w:jc w:val="left"/>
                        </w:pPr>
                        <w:r>
                          <w:rPr>
                            <w:rFonts w:ascii="Calibri" w:hAnsi="Calibri" w:eastAsia="Calibri"/>
                            <w:b w:val="0"/>
                            <w:i w:val="0"/>
                            <w:color w:val="000000"/>
                            <w:sz w:val="24"/>
                          </w:rPr>
                          <w:t xml:space="preserve">impacte </w:t>
                        </w:r>
                      </w:p>
                    </w:tc>
                    <w:tc>
                      <w:tcPr>
                        <w:tcW w:type="dxa" w:w="92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exact" w:before="26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Calibri" w:hAnsi="Calibri" w:eastAsia="Calibri"/>
                            <w:b w:val="0"/>
                            <w:i w:val="0"/>
                            <w:color w:val="000000"/>
                            <w:sz w:val="24"/>
                          </w:rPr>
                          <w:t xml:space="preserve">nas </w:t>
                        </w:r>
                      </w:p>
                    </w:tc>
                    <w:tc>
                      <w:tcPr>
                        <w:tcW w:type="dxa" w:w="110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exact" w:before="26" w:after="0"/>
                          <w:ind w:left="0" w:right="18" w:firstLine="0"/>
                          <w:jc w:val="right"/>
                        </w:pPr>
                        <w:r>
                          <w:rPr>
                            <w:rFonts w:ascii="Calibri" w:hAnsi="Calibri" w:eastAsia="Calibri"/>
                            <w:b w:val="0"/>
                            <w:i w:val="0"/>
                            <w:color w:val="000000"/>
                            <w:sz w:val="24"/>
                          </w:rPr>
                          <w:t xml:space="preserve">receitas 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276" w:lineRule="exact" w:before="0" w:after="0"/>
                    <w:ind w:left="110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decorrentes da prestação do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serviço. </w:t>
                  </w:r>
                </w:p>
              </w:tc>
              <w:tc>
                <w:tcPr>
                  <w:tcW w:type="dxa" w:w="112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42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  <w:tr>
              <w:trPr>
                <w:trHeight w:hRule="exact" w:val="4110"/>
              </w:trPr>
              <w:tc>
                <w:tcPr>
                  <w:tcW w:type="dxa" w:w="2404"/>
                  <w:vMerge w:val="restart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94" w:lineRule="exact" w:before="2912" w:after="0"/>
                    <w:ind w:left="106" w:right="432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RISCOS DE FORÇA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MAIOR E CASO </w:t>
                  </w:r>
                  <w:r>
                    <w:br/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FORTUITO </w:t>
                  </w:r>
                </w:p>
              </w:tc>
              <w:tc>
                <w:tcPr>
                  <w:tcW w:type="dxa" w:w="56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193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30 </w:t>
                  </w:r>
                </w:p>
              </w:tc>
              <w:tc>
                <w:tcPr>
                  <w:tcW w:type="dxa" w:w="326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82" w:lineRule="exact" w:before="0" w:after="26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Ocorrência de circunstâncias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imprevisíveis e supervenientes, 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51.999999999999886" w:type="dxa"/>
                  </w:tblPr>
                  <w:tblGrid>
                    <w:gridCol w:w="1088"/>
                    <w:gridCol w:w="1088"/>
                    <w:gridCol w:w="1088"/>
                  </w:tblGrid>
                  <w:tr>
                    <w:trPr>
                      <w:trHeight w:hRule="exact" w:val="296"/>
                    </w:trPr>
                    <w:tc>
                      <w:tcPr>
                        <w:tcW w:type="dxa" w:w="62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exact" w:before="28" w:after="0"/>
                          <w:ind w:left="58" w:right="0" w:firstLine="0"/>
                          <w:jc w:val="left"/>
                        </w:pPr>
                        <w:r>
                          <w:rPr>
                            <w:rFonts w:ascii="Calibri" w:hAnsi="Calibri" w:eastAsia="Calibri"/>
                            <w:b w:val="0"/>
                            <w:i w:val="0"/>
                            <w:color w:val="000000"/>
                            <w:sz w:val="24"/>
                          </w:rPr>
                          <w:t xml:space="preserve">ou </w:t>
                        </w:r>
                      </w:p>
                    </w:tc>
                    <w:tc>
                      <w:tcPr>
                        <w:tcW w:type="dxa" w:w="80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exact" w:before="28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Calibri" w:hAnsi="Calibri" w:eastAsia="Calibri"/>
                            <w:b w:val="0"/>
                            <w:i w:val="0"/>
                            <w:color w:val="000000"/>
                            <w:sz w:val="24"/>
                          </w:rPr>
                          <w:t xml:space="preserve">de </w:t>
                        </w:r>
                      </w:p>
                    </w:tc>
                    <w:tc>
                      <w:tcPr>
                        <w:tcW w:type="dxa" w:w="176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exact" w:before="28" w:after="0"/>
                          <w:ind w:left="260" w:right="0" w:firstLine="0"/>
                          <w:jc w:val="left"/>
                        </w:pPr>
                        <w:r>
                          <w:rPr>
                            <w:rFonts w:ascii="Calibri" w:hAnsi="Calibri" w:eastAsia="Calibri"/>
                            <w:b w:val="0"/>
                            <w:i w:val="0"/>
                            <w:color w:val="000000"/>
                            <w:sz w:val="24"/>
                          </w:rPr>
                          <w:t xml:space="preserve">consequências 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288" w:lineRule="exact" w:before="0" w:after="26"/>
                    <w:ind w:left="110" w:right="40" w:firstLine="0"/>
                    <w:jc w:val="both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incalculáveis, em razão de caso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fortuito ou força maior, que: (i)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não esteja compreendida em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nenhum outro risco dessa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matriz de riscos; (ii) cujos 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51.999999999999886" w:type="dxa"/>
                  </w:tblPr>
                  <w:tblGrid>
                    <w:gridCol w:w="816"/>
                    <w:gridCol w:w="816"/>
                    <w:gridCol w:w="816"/>
                    <w:gridCol w:w="816"/>
                  </w:tblGrid>
                  <w:tr>
                    <w:trPr>
                      <w:trHeight w:hRule="exact" w:val="292"/>
                    </w:trPr>
                    <w:tc>
                      <w:tcPr>
                        <w:tcW w:type="dxa" w:w="88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exact" w:before="26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Calibri" w:hAnsi="Calibri" w:eastAsia="Calibri"/>
                            <w:b w:val="0"/>
                            <w:i w:val="0"/>
                            <w:color w:val="000000"/>
                            <w:sz w:val="24"/>
                          </w:rPr>
                          <w:t xml:space="preserve">efeitos </w:t>
                        </w:r>
                      </w:p>
                    </w:tc>
                    <w:tc>
                      <w:tcPr>
                        <w:tcW w:type="dxa" w:w="62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exact" w:before="26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Calibri" w:hAnsi="Calibri" w:eastAsia="Calibri"/>
                            <w:b w:val="0"/>
                            <w:i w:val="0"/>
                            <w:color w:val="000000"/>
                            <w:sz w:val="24"/>
                          </w:rPr>
                          <w:t xml:space="preserve">não </w:t>
                        </w:r>
                      </w:p>
                    </w:tc>
                    <w:tc>
                      <w:tcPr>
                        <w:tcW w:type="dxa" w:w="120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exact" w:before="26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Calibri" w:hAnsi="Calibri" w:eastAsia="Calibri"/>
                            <w:b w:val="0"/>
                            <w:i w:val="0"/>
                            <w:color w:val="000000"/>
                            <w:sz w:val="24"/>
                          </w:rPr>
                          <w:t xml:space="preserve">poderiam </w:t>
                        </w:r>
                      </w:p>
                    </w:tc>
                    <w:tc>
                      <w:tcPr>
                        <w:tcW w:type="dxa" w:w="48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exact" w:before="26" w:after="0"/>
                          <w:ind w:left="112" w:right="0" w:firstLine="0"/>
                          <w:jc w:val="left"/>
                        </w:pPr>
                        <w:r>
                          <w:rPr>
                            <w:rFonts w:ascii="Calibri" w:hAnsi="Calibri" w:eastAsia="Calibri"/>
                            <w:b w:val="0"/>
                            <w:i w:val="0"/>
                            <w:color w:val="000000"/>
                            <w:sz w:val="24"/>
                          </w:rPr>
                          <w:t xml:space="preserve">ser 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286" w:lineRule="exact" w:before="0" w:after="0"/>
                    <w:ind w:left="110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prevenidos ou mitigados pelo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prestador de serviços; e (iii) não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esteja coberta pelos seguros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exigidos ou indicados </w:t>
                  </w:r>
                  <w:r>
                    <w:br/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no edital ou contrato. </w:t>
                  </w:r>
                </w:p>
              </w:tc>
              <w:tc>
                <w:tcPr>
                  <w:tcW w:type="dxa" w:w="112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1936" w:after="0"/>
                    <w:ind w:left="108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X </w:t>
                  </w:r>
                </w:p>
              </w:tc>
              <w:tc>
                <w:tcPr>
                  <w:tcW w:type="dxa" w:w="142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  <w:tr>
              <w:trPr>
                <w:trHeight w:hRule="exact" w:val="2628"/>
              </w:trPr>
              <w:tc>
                <w:tcPr>
                  <w:tcW w:type="dxa" w:w="1761"/>
                  <w:vMerge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</w:tcPr>
                <w:p/>
              </w:tc>
              <w:tc>
                <w:tcPr>
                  <w:tcW w:type="dxa" w:w="56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120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31 </w:t>
                  </w:r>
                </w:p>
              </w:tc>
              <w:tc>
                <w:tcPr>
                  <w:tcW w:type="dxa" w:w="326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84" w:lineRule="exact" w:before="0" w:after="26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Ocorrência de circunstâncias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imprevisíveis e supervenientes, 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51.999999999999886" w:type="dxa"/>
                  </w:tblPr>
                  <w:tblGrid>
                    <w:gridCol w:w="1088"/>
                    <w:gridCol w:w="1088"/>
                    <w:gridCol w:w="1088"/>
                  </w:tblGrid>
                  <w:tr>
                    <w:trPr>
                      <w:trHeight w:hRule="exact" w:val="294"/>
                    </w:trPr>
                    <w:tc>
                      <w:tcPr>
                        <w:tcW w:type="dxa" w:w="60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exact" w:before="26" w:after="0"/>
                          <w:ind w:left="58" w:right="0" w:firstLine="0"/>
                          <w:jc w:val="left"/>
                        </w:pPr>
                        <w:r>
                          <w:rPr>
                            <w:rFonts w:ascii="Calibri" w:hAnsi="Calibri" w:eastAsia="Calibri"/>
                            <w:b w:val="0"/>
                            <w:i w:val="0"/>
                            <w:color w:val="000000"/>
                            <w:sz w:val="24"/>
                          </w:rPr>
                          <w:t xml:space="preserve">ou </w:t>
                        </w:r>
                      </w:p>
                    </w:tc>
                    <w:tc>
                      <w:tcPr>
                        <w:tcW w:type="dxa" w:w="82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exact" w:before="26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Calibri" w:hAnsi="Calibri" w:eastAsia="Calibri"/>
                            <w:b w:val="0"/>
                            <w:i w:val="0"/>
                            <w:color w:val="000000"/>
                            <w:sz w:val="24"/>
                          </w:rPr>
                          <w:t xml:space="preserve">de </w:t>
                        </w:r>
                      </w:p>
                    </w:tc>
                    <w:tc>
                      <w:tcPr>
                        <w:tcW w:type="dxa" w:w="176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exact" w:before="26" w:after="0"/>
                          <w:ind w:left="260" w:right="0" w:firstLine="0"/>
                          <w:jc w:val="left"/>
                        </w:pPr>
                        <w:r>
                          <w:rPr>
                            <w:rFonts w:ascii="Calibri" w:hAnsi="Calibri" w:eastAsia="Calibri"/>
                            <w:b w:val="0"/>
                            <w:i w:val="0"/>
                            <w:color w:val="000000"/>
                            <w:sz w:val="24"/>
                          </w:rPr>
                          <w:t xml:space="preserve">consequências 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288" w:lineRule="exact" w:before="0" w:after="0"/>
                    <w:ind w:left="110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incalculáveis, em razão de caso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fortuito ou força maior, que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sejam objeto de cobertura de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seguros exigidos no contrato,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até  o  limite  da  cobertura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contratada. </w:t>
                  </w:r>
                </w:p>
              </w:tc>
              <w:tc>
                <w:tcPr>
                  <w:tcW w:type="dxa" w:w="112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42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1206" w:after="0"/>
                    <w:ind w:left="106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X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5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3968" w:after="0"/>
              <w:ind w:left="1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11 </w:t>
            </w:r>
          </w:p>
        </w:tc>
        <w:tc>
          <w:tcPr>
            <w:tcW w:type="dxa" w:w="50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294" w:after="0"/>
              <w:ind w:left="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Assinado por 1 pessoa:  DALTO FAVERO BROCHI</w:t>
            </w:r>
          </w:p>
        </w:tc>
        <w:tc>
          <w:tcPr>
            <w:tcW w:type="dxa" w:w="2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Para verificar a validade das assinaturas, acesse https://stip-arespcj.1doc.com.br/verificacao/C5C1-CB1F-7652-0F71 e informe o código C5C1-CB1F-7652-0F71</w:t>
            </w:r>
          </w:p>
        </w:tc>
      </w:tr>
      <w:tr>
        <w:trPr>
          <w:trHeight w:hRule="exact" w:val="2958"/>
        </w:trPr>
        <w:tc>
          <w:tcPr>
            <w:tcW w:type="dxa" w:w="880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66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RESOLUÇÃO ARES-PCJ Nº 651 – 20/08/2025 </w:t>
            </w:r>
          </w:p>
        </w:tc>
        <w:tc>
          <w:tcPr>
            <w:tcW w:type="dxa" w:w="2523"/>
            <w:vMerge/>
            <w:tcBorders/>
          </w:tcPr>
          <w:p/>
        </w:tc>
        <w:tc>
          <w:tcPr>
            <w:tcW w:type="dxa" w:w="2523"/>
            <w:vMerge/>
            <w:tcBorders/>
          </w:tcPr>
          <w:p/>
        </w:tc>
        <w:tc>
          <w:tcPr>
            <w:tcW w:type="dxa" w:w="2523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11" w:h="16841"/>
          <w:pgMar w:top="310" w:right="404" w:bottom="482" w:left="14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4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245"/>
        <w:gridCol w:w="3245"/>
        <w:gridCol w:w="3245"/>
      </w:tblGrid>
      <w:tr>
        <w:trPr>
          <w:trHeight w:hRule="exact" w:val="566"/>
        </w:trPr>
        <w:tc>
          <w:tcPr>
            <w:tcW w:type="dxa" w:w="232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lef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720090</wp:posOffset>
                  </wp:positionH>
                  <wp:positionV relativeFrom="page">
                    <wp:posOffset>720090</wp:posOffset>
                  </wp:positionV>
                  <wp:extent cx="720090" cy="720090"/>
                  <wp:wrapNone/>
                  <wp:docPr id="23" name="Picture 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0090" cy="72009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4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84" w:lineRule="exact" w:before="18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8"/>
              </w:rPr>
              <w:t>VERIFICAÇÃO DAS</w:t>
            </w:r>
          </w:p>
        </w:tc>
        <w:tc>
          <w:tcPr>
            <w:tcW w:type="dxa" w:w="24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48" w:firstLine="0"/>
              <w:jc w:val="righ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6120130</wp:posOffset>
                  </wp:positionH>
                  <wp:positionV relativeFrom="page">
                    <wp:posOffset>720090</wp:posOffset>
                  </wp:positionV>
                  <wp:extent cx="720090" cy="720090"/>
                  <wp:wrapNone/>
                  <wp:docPr id="24" name="Picture 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0090" cy="72009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</w:tr>
      <w:tr>
        <w:trPr>
          <w:trHeight w:hRule="exact" w:val="628"/>
        </w:trPr>
        <w:tc>
          <w:tcPr>
            <w:tcW w:type="dxa" w:w="3245"/>
            <w:vMerge/>
            <w:tcBorders/>
          </w:tcPr>
          <w:p/>
        </w:tc>
        <w:tc>
          <w:tcPr>
            <w:tcW w:type="dxa" w:w="4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86" w:lineRule="exact" w:before="1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8"/>
              </w:rPr>
              <w:t>ASSINATURAS</w:t>
            </w:r>
          </w:p>
        </w:tc>
        <w:tc>
          <w:tcPr>
            <w:tcW w:type="dxa" w:w="3245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362" w:lineRule="exact" w:before="416" w:after="0"/>
        <w:ind w:left="1958" w:right="0" w:firstLine="0"/>
        <w:jc w:val="left"/>
      </w:pPr>
      <w:r>
        <w:rPr>
          <w:w w:val="101.53846007127028"/>
          <w:rFonts w:ascii="Helvetica" w:hAnsi="Helvetica" w:eastAsia="Helvetica"/>
          <w:b w:val="0"/>
          <w:i w:val="0"/>
          <w:color w:val="000000"/>
          <w:sz w:val="26"/>
        </w:rPr>
        <w:t>Código para verificação: C5C1-CB1F-7652-0F71</w:t>
      </w:r>
    </w:p>
    <w:p>
      <w:pPr>
        <w:autoSpaceDN w:val="0"/>
        <w:autoSpaceDE w:val="0"/>
        <w:widowControl/>
        <w:spacing w:line="330" w:lineRule="exact" w:before="506" w:after="526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Este documento foi assinado digitalmente pelos seguintes signatários nas datas indicadas: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867"/>
        <w:gridCol w:w="4867"/>
      </w:tblGrid>
      <w:tr>
        <w:trPr>
          <w:trHeight w:hRule="exact" w:val="564"/>
        </w:trPr>
        <w:tc>
          <w:tcPr>
            <w:tcW w:type="dxa" w:w="44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8" w:after="0"/>
              <w:ind w:left="0" w:right="0" w:firstLine="0"/>
              <w:jc w:val="lef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720090</wp:posOffset>
                  </wp:positionH>
                  <wp:positionV relativeFrom="page">
                    <wp:posOffset>2880360</wp:posOffset>
                  </wp:positionV>
                  <wp:extent cx="180340" cy="179069"/>
                  <wp:wrapNone/>
                  <wp:docPr id="25" name="Picture 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340" cy="179069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8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exact" w:before="94" w:after="0"/>
              <w:ind w:left="178" w:right="720" w:firstLine="0"/>
              <w:jc w:val="left"/>
            </w:pPr>
            <w:r>
              <w:rPr>
                <w:w w:val="101.05263559441818"/>
                <w:rFonts w:ascii="Helvetica" w:hAnsi="Helvetica" w:eastAsia="Helvetica"/>
                <w:b w:val="0"/>
                <w:i w:val="0"/>
                <w:color w:val="000000"/>
                <w:sz w:val="19"/>
              </w:rPr>
              <w:t xml:space="preserve">DALTO FAVERO BROCHI (CPF 062.XXX.XXX-21) em 20/08/2025 17:17:51 GMT-03:00 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Papel: Parte</w:t>
            </w:r>
          </w:p>
        </w:tc>
      </w:tr>
    </w:tbl>
    <w:p>
      <w:pPr>
        <w:autoSpaceDN w:val="0"/>
        <w:autoSpaceDE w:val="0"/>
        <w:widowControl/>
        <w:spacing w:line="206" w:lineRule="exact" w:before="10" w:after="0"/>
        <w:ind w:left="62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15"/>
        </w:rPr>
        <w:t>Emitido por: Sub-Autoridade Certificadora 1Doc (Assinatura 1Doc)</w:t>
      </w:r>
    </w:p>
    <w:p>
      <w:pPr>
        <w:autoSpaceDN w:val="0"/>
        <w:autoSpaceDE w:val="0"/>
        <w:widowControl/>
        <w:spacing w:line="312" w:lineRule="exact" w:before="1266" w:after="0"/>
        <w:ind w:left="226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3"/>
        </w:rPr>
        <w:t>Para verificar a validade das assinaturas, acesse a Central de Verificação por meio do link:</w:t>
      </w:r>
    </w:p>
    <w:p>
      <w:pPr>
        <w:autoSpaceDN w:val="0"/>
        <w:autoSpaceDE w:val="0"/>
        <w:widowControl/>
        <w:spacing w:line="314" w:lineRule="exact" w:before="480" w:after="0"/>
        <w:ind w:left="1416" w:right="0" w:firstLine="0"/>
        <w:jc w:val="left"/>
      </w:pPr>
      <w:r>
        <w:rPr>
          <w:rFonts w:ascii="Helvetica" w:hAnsi="Helvetica" w:eastAsia="Helvetica"/>
          <w:b w:val="0"/>
          <w:i w:val="0"/>
          <w:color w:val="0000FF"/>
          <w:sz w:val="23"/>
        </w:rPr>
        <w:hyperlink r:id="rId14" w:history="1">
          <w:r>
            <w:rPr>
              <w:rStyle w:val="Hyperlink"/>
            </w:rPr>
            <w:t>https://stip-arespcj.1doc.com.br/verificacao/C5C1-CB1F-7652-0F71</w:t>
          </w:r>
        </w:hyperlink>
      </w:r>
    </w:p>
    <w:sectPr w:rsidR="00FC693F" w:rsidRPr="0006063C" w:rsidSect="00034616">
      <w:pgSz w:w="11906" w:h="16838"/>
      <w:pgMar w:top="568" w:right="1038" w:bottom="1440" w:left="1134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hyperlink" Target="https://stip-arespcj.1doc.com.br/verificacao/C5C1-CB1F-7652-0F7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