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659, DE 21 DE OUTUBRO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e a revisão dos valores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Olímpia - SP,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atribuições que lhe conferem a Cláusula 32ª, inciso IV, do Protocolo de Intenções da ARES-PCJ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convertido em Contrato de Consórcio Público e o art. 29, inciso IV, do Estatuto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01/2023,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Olímpia e a Agência Reguladora ARES-PCJ, foram delegadas as competências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municipais de regulação econômica e de fiscalização da qualidade da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saneamento básico à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 Concorrência Pública nº 02/2023, o Município de Olímpia firmou o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nº 398/2023 junto à empresa SABESP OLÍMPIA S/A, para a concessão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de abastecimento de água e esgotamento sanitário naquele município;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concessionária SABESP OLÍMPIA S/A,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tratada e esgotamento sanitário do Município de Olímpia, formalizou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pedido de recomposição tarifária com objetivo de reequilíbrio econômico-financeiro do Contrato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Concessão, em função da ocorrência de eventos extraordinários, através da Carta NR-1322,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17 de dezembro de 2024;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de forma complementar a concessionária SABESP OLÍMPIA S/A formalizou pleito de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praticadas no Município de Olímpia para fins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reequilíbrio econômico-financeiro em função da implantação da Tarifa Residencial Social,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termos da Lei federal nº 14.898, de 13 de junho de 2024, e da Resolução ARES-PCJ nº 592, de 03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dezembro de 2024, através da Carta GM-0677/ 2025, de 26 de setembro de 2025;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Contrato de Concessão nº 398/2023, em sua cláusula 25.1, estabelece o reajuste ordinário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dos Preços Públicos dos Demais Serviços por 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45/2025 - CRO,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aos processos de revisão extraordinária e reajuste tarifário,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vislumbrar plena regularidade do pleito em sua composição documental, base jurídico-legal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atendimento aos prazos e premissas definidas pelas normas do Contrato de Concessão;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6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Consulta Pública nº 11/2025 foi realizada Consulta Pública entre os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02/10/2025 e 16/10/2025, para abertura de espaço para opiniões e participação da sociedade,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revisão do Contrato de Concessão no município de Olímpia/SP; </w:t>
      </w:r>
    </w:p>
    <w:p>
      <w:pPr>
        <w:autoSpaceDN w:val="0"/>
        <w:autoSpaceDE w:val="0"/>
        <w:widowControl/>
        <w:spacing w:line="292" w:lineRule="exact" w:before="292" w:after="28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Aviso de Audiência Pública nº 11/2025, foi realizada no dia 20/10/2025,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Câmara Municipal de Olímpia, localizada na Avenida Aurora Forti Neves, nº 867 – Centro,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Olímpia, Audiência Pública sobre a revisão extraordinária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com objetivo de ouvir a opinião da sociedade e recolher dos interessados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 e sugestões pertinentes;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COMSAN - Conselho Municipal de Saneamento Básico do Município de Olímpia, instituído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Decreto Municipal nº 8.601, de 06/12/2022, e seus membros nomeados pelo mesmo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instrumento, alterado pelo Decreto nº 9.410, de 27/01/2025, reunido em 20 de outubro de 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apreciou o conteúdo do Parecer Consolidado ARES-PCJ nº 45/2025 - CRO, inclusive os índices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propostos para revisão e reajuste dos valores das Tarifas de Água e Esgoto e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praticados pela SABESP OLÍMPIA S/A,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dos processos de reajuste e revisão tarifária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Olímpia, nos termos das Resoluções ARES-PCJ nº 303/2019 e 592/2024,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Diretoria Colegiada da ARES-PCJ, reunida no dia 21 de outubro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Reajustar os atuais valores das Tarifas de Água e Esgoto praticadas pela empresa SABESP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OLÍMPIA S/A em 5,17% (cinco inteiros e dezessete centésimos por cento), correspondente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acumulado no período de outubro de 2024 a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empresa SABESP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OLÍMPIA S/A a partir de dezembro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Revisar os valores das Tarifas de Água e Esgoto, ora reajustados conforme art. 1º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Resolução, em 3,27% (três inteiros e vinte e sete centésimos por cento),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reequilíbrio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econômico-financeiro em função da ocorrência de eventos de desequilíbrio, inclusive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implementação da Tarifa Residencial Social, nos termos da Lei federal nº 14.898/2024 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1º A revisão tarifária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pela empresa SABESP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OLÍMPIA S/A a partir de dezembro de 2025, em todas 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§ 2º Os índices de reajuste e revisão tarifária deverão ser aplicados cumulativamente sobre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praticadas pela empresa SABESP OLÍMPIA S/A, correspondendo a efeito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 total de 8,61% (oito inteiros e sessenta e um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Fixar os novos valores das Tarifas de Água e Esgoto praticadas pela concessionária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SABESP OLÍMPIA S/A, conforme apresentado nas tabelas do Anexo 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62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Fica instituída a nova estrutura tarifária da categoria Residencial Social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Resolução ARES-PCJ nº 592/2024, em observância aos critérios mínimos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elegibilidade, concessão de descontos e metodologia de cobrança. </w:t>
      </w:r>
    </w:p>
    <w:p>
      <w:pPr>
        <w:autoSpaceDN w:val="0"/>
        <w:autoSpaceDE w:val="0"/>
        <w:widowControl/>
        <w:spacing w:line="294" w:lineRule="exact" w:before="2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SABESP OLÍMPIA S/A em 5,17% (cinco inteiros e dezessete centésimos por cento). </w:t>
      </w:r>
    </w:p>
    <w:p>
      <w:pPr>
        <w:autoSpaceDN w:val="0"/>
        <w:autoSpaceDE w:val="0"/>
        <w:widowControl/>
        <w:spacing w:line="292" w:lineRule="exact" w:before="294" w:after="28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SABESP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OLÍMPIA S/A, a partir de dezembro de 2025.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Fixar os novos valores dos Preços dos Demais Serviços praticados pela empresa SABESP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OLÍMPIA S/A, conforme apresentado na tabela do Anexo III,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Fixar o valor de cobrança destinada ao Programa Permanente de Manutenção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Hidrômetros em R$ 0,19 (dezenove centavos) por m³ de água consumida, previsto no Anexo I.2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Edital de Licitação, conforme detalhamento expresso no Parecer Consolidado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45/2025 – CRO.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valor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pela empresa SABESP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OLÍMPIA S/A a partir de dezembro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Para fins de divulgação, a empresa concessionária SABESP OLÍMPIA S/A afixará as tabelas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os novos valores das Tarifas de Água e Esgoto e dos Preços do Demais Serviços, em local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8º - Atualizar o Quadro 14 (“Fluxo de Caixa do Empreendimento”) do modelo econômico-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financeiro do Contrato em alinhamento aos resultados da Revisão Ordinária, conforme Anexo IV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9º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concessionária SABESP OLÍMPIA S/A, após 30 (trinta) dias da publicação, na íntegra,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na imprensa oficial, ou em jornal de circulação no Município de Olímpia,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empresa concessionária SABESP OLÍMPIA S/A somente realizará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leituras/medições e as emissões das respectivas Contas/Faturas com os novos valores das Tarifas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Esgoto, ora reajustados,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2" w:after="0"/>
              <w:ind w:left="0" w:right="29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RODRIGO LOPES DE FREITAS LEITÃO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338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Técnico-Operacional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09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(respondendo pela Diretoria Geral)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659, DE 21 DE OUTUBRO DE 2025 </w:t>
      </w:r>
    </w:p>
    <w:p>
      <w:pPr>
        <w:autoSpaceDN w:val="0"/>
        <w:autoSpaceDE w:val="0"/>
        <w:widowControl/>
        <w:spacing w:line="586" w:lineRule="exact" w:before="2" w:after="256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71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4"/>
              </w:trPr>
              <w:tc>
                <w:tcPr>
                  <w:tcW w:type="dxa" w:w="9144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2914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tabs>
                <w:tab w:pos="6186" w:val="left"/>
              </w:tabs>
              <w:autoSpaceDE w:val="0"/>
              <w:widowControl/>
              <w:spacing w:line="240" w:lineRule="exact" w:before="0" w:after="0"/>
              <w:ind w:left="459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12,67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0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10,14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22,81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2,55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2,04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8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4,58 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912"/>
                  <w:tcBorders>
                    <w:start w:sz="8.0" w:val="single" w:color="#000000"/>
                    <w:top w:sz="7.2000000000000455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0455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3,82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3,05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8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6,87 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912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5,16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2" w:lineRule="exact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4,13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8" w:val="left"/>
                    </w:tabs>
                    <w:autoSpaceDE w:val="0"/>
                    <w:widowControl/>
                    <w:spacing w:line="242" w:lineRule="exact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9,29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6,40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5,12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11,52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9,24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7,40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16,64 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91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9,37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7,49  </w:t>
                  </w:r>
                </w:p>
              </w:tc>
              <w:tc>
                <w:tcPr>
                  <w:tcW w:type="dxa" w:w="1388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16,86 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9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42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7,54  </w:t>
                  </w:r>
                </w:p>
              </w:tc>
              <w:tc>
                <w:tcPr>
                  <w:tcW w:type="dxa" w:w="13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16,96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me o código 946D-C1B6-A1C1-F7FF</w:t>
            </w:r>
          </w:p>
        </w:tc>
      </w:tr>
      <w:tr>
        <w:trPr>
          <w:trHeight w:hRule="exact" w:val="509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422"/>
            </w:tblGrid>
            <w:tr>
              <w:trPr>
                <w:trHeight w:hRule="exact" w:val="292"/>
              </w:trPr>
              <w:tc>
                <w:tcPr>
                  <w:tcW w:type="dxa" w:w="91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NORMAL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31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514"/>
              </w:trPr>
              <w:tc>
                <w:tcPr>
                  <w:tcW w:type="dxa" w:w="2914"/>
                  <w:tcBorders>
                    <w:start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25,34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0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20,27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45,61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5,09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4,07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8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9,16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5,16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4,13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58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9,29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6,40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5,12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11,52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9,24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7,40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16,64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9,37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7,49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16,86 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7,54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16,96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c.com.br/verificacao/946D-C1B6-A1C1-F7FF e infor</w:t>
            </w:r>
          </w:p>
        </w:tc>
      </w:tr>
      <w:tr>
        <w:trPr>
          <w:trHeight w:hRule="exact" w:val="5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422"/>
            </w:tblGrid>
            <w:tr>
              <w:trPr>
                <w:trHeight w:hRule="exact" w:val="294"/>
              </w:trPr>
              <w:tc>
                <w:tcPr>
                  <w:tcW w:type="dxa" w:w="914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516"/>
              </w:trPr>
              <w:tc>
                <w:tcPr>
                  <w:tcW w:type="dxa" w:w="2914"/>
                  <w:tcBorders>
                    <w:start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36,22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10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28,98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65,20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6,36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5,09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11,45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6,39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5,10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11,49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7,99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6,40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14,39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9,28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7,42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16,70 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9,37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7,49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2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16,86 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2914"/>
                  <w:tcBorders>
                    <w:start w:sz="8.0" w:val="single" w:color="#000000"/>
                    <w:top w:sz="7.20000000000072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72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4" w:val="left"/>
                    </w:tabs>
                    <w:autoSpaceDE w:val="0"/>
                    <w:widowControl/>
                    <w:spacing w:line="242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7,54  </w:t>
                  </w:r>
                </w:p>
              </w:tc>
              <w:tc>
                <w:tcPr>
                  <w:tcW w:type="dxa" w:w="1390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2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16,96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</w:t>
            </w:r>
          </w:p>
        </w:tc>
      </w:tr>
      <w:tr>
        <w:trPr>
          <w:trHeight w:hRule="exact" w:val="1214"/>
        </w:trPr>
        <w:tc>
          <w:tcPr>
            <w:tcW w:type="dxa" w:w="4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5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9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086"/>
      </w:tblGrid>
      <w:tr>
        <w:trPr>
          <w:trHeight w:hRule="exact" w:val="312"/>
        </w:trPr>
        <w:tc>
          <w:tcPr>
            <w:tcW w:type="dxa" w:w="9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520"/>
        </w:trPr>
        <w:tc>
          <w:tcPr>
            <w:tcW w:type="dxa" w:w="2914"/>
            <w:tcBorders>
              <w:start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24"/>
            <w:tcBorders>
              <w:start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52"/>
            <w:tcBorders>
              <w:start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4"/>
            <w:tcBorders>
              <w:start w:sz="7.200000000000273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92"/>
            <w:tcBorders>
              <w:start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291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78,18  </w:t>
            </w:r>
          </w:p>
        </w:tc>
        <w:tc>
          <w:tcPr>
            <w:tcW w:type="dxa" w:w="186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8" w:val="left"/>
              </w:tabs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62,54  </w:t>
            </w:r>
          </w:p>
        </w:tc>
        <w:tc>
          <w:tcPr>
            <w:tcW w:type="dxa" w:w="139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</w:tabs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140,72  </w:t>
            </w:r>
          </w:p>
        </w:tc>
      </w:tr>
      <w:tr>
        <w:trPr>
          <w:trHeight w:hRule="exact" w:val="314"/>
        </w:trPr>
        <w:tc>
          <w:tcPr>
            <w:tcW w:type="dxa" w:w="291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7,62  </w:t>
            </w:r>
          </w:p>
        </w:tc>
        <w:tc>
          <w:tcPr>
            <w:tcW w:type="dxa" w:w="186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6,10  </w:t>
            </w:r>
          </w:p>
        </w:tc>
        <w:tc>
          <w:tcPr>
            <w:tcW w:type="dxa" w:w="139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13,72  </w:t>
            </w:r>
          </w:p>
        </w:tc>
      </w:tr>
      <w:tr>
        <w:trPr>
          <w:trHeight w:hRule="exact" w:val="312"/>
        </w:trPr>
        <w:tc>
          <w:tcPr>
            <w:tcW w:type="dxa" w:w="29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4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7,70  </w:t>
            </w:r>
          </w:p>
        </w:tc>
        <w:tc>
          <w:tcPr>
            <w:tcW w:type="dxa" w:w="186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6,16  </w:t>
            </w:r>
          </w:p>
        </w:tc>
        <w:tc>
          <w:tcPr>
            <w:tcW w:type="dxa" w:w="139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13,86  </w:t>
            </w:r>
          </w:p>
        </w:tc>
      </w:tr>
      <w:tr>
        <w:trPr>
          <w:trHeight w:hRule="exact" w:val="314"/>
        </w:trPr>
        <w:tc>
          <w:tcPr>
            <w:tcW w:type="dxa" w:w="291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10,40  </w:t>
            </w:r>
          </w:p>
        </w:tc>
        <w:tc>
          <w:tcPr>
            <w:tcW w:type="dxa" w:w="186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8,33  </w:t>
            </w:r>
          </w:p>
        </w:tc>
        <w:tc>
          <w:tcPr>
            <w:tcW w:type="dxa" w:w="139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18,73  </w:t>
            </w:r>
          </w:p>
        </w:tc>
      </w:tr>
      <w:tr>
        <w:trPr>
          <w:trHeight w:hRule="exact" w:val="314"/>
        </w:trPr>
        <w:tc>
          <w:tcPr>
            <w:tcW w:type="dxa" w:w="291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24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11,82  </w:t>
            </w:r>
          </w:p>
        </w:tc>
        <w:tc>
          <w:tcPr>
            <w:tcW w:type="dxa" w:w="186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9,45  </w:t>
            </w:r>
          </w:p>
        </w:tc>
        <w:tc>
          <w:tcPr>
            <w:tcW w:type="dxa" w:w="139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21,27  </w:t>
            </w:r>
          </w:p>
        </w:tc>
      </w:tr>
      <w:tr>
        <w:trPr>
          <w:trHeight w:hRule="exact" w:val="312"/>
        </w:trPr>
        <w:tc>
          <w:tcPr>
            <w:tcW w:type="dxa" w:w="29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70 </w:t>
            </w:r>
          </w:p>
        </w:tc>
        <w:tc>
          <w:tcPr>
            <w:tcW w:type="dxa" w:w="14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11,93  </w:t>
            </w:r>
          </w:p>
        </w:tc>
        <w:tc>
          <w:tcPr>
            <w:tcW w:type="dxa" w:w="186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9,55  </w:t>
            </w:r>
          </w:p>
        </w:tc>
        <w:tc>
          <w:tcPr>
            <w:tcW w:type="dxa" w:w="13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21,48  </w:t>
            </w:r>
          </w:p>
        </w:tc>
      </w:tr>
      <w:tr>
        <w:trPr>
          <w:trHeight w:hRule="exact" w:val="312"/>
        </w:trPr>
        <w:tc>
          <w:tcPr>
            <w:tcW w:type="dxa" w:w="29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24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12,03  </w:t>
            </w:r>
          </w:p>
        </w:tc>
        <w:tc>
          <w:tcPr>
            <w:tcW w:type="dxa" w:w="186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2" w:val="left"/>
              </w:tabs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9,63  </w:t>
            </w:r>
          </w:p>
        </w:tc>
        <w:tc>
          <w:tcPr>
            <w:tcW w:type="dxa" w:w="13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6" w:val="left"/>
              </w:tabs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21,66  </w:t>
            </w:r>
          </w:p>
        </w:tc>
      </w:tr>
    </w:tbl>
    <w:p>
      <w:pPr>
        <w:autoSpaceDN w:val="0"/>
        <w:autoSpaceDE w:val="0"/>
        <w:widowControl/>
        <w:spacing w:line="2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1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422"/>
            </w:tblGrid>
            <w:tr>
              <w:trPr>
                <w:trHeight w:hRule="exact" w:val="294"/>
              </w:trPr>
              <w:tc>
                <w:tcPr>
                  <w:tcW w:type="dxa" w:w="914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F7FF</w:t>
            </w:r>
          </w:p>
        </w:tc>
      </w:tr>
      <w:tr>
        <w:trPr>
          <w:trHeight w:hRule="exact" w:val="2911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.999999999999886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514"/>
              </w:trPr>
              <w:tc>
                <w:tcPr>
                  <w:tcW w:type="dxa" w:w="2912"/>
                  <w:tcBorders>
                    <w:start w:sz="8.0" w:val="single" w:color="#000000"/>
                    <w:end w:sz="7.2000000000000455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end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2"/>
                  <w:tcBorders>
                    <w:start w:sz="8.0" w:val="single" w:color="#000000"/>
                    <w:top w:sz="7.200000000000273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200000000000273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72,43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8" w:val="left"/>
                    </w:tabs>
                    <w:autoSpaceDE w:val="0"/>
                    <w:widowControl/>
                    <w:spacing w:line="242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57,94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14" w:val="left"/>
                    </w:tabs>
                    <w:autoSpaceDE w:val="0"/>
                    <w:widowControl/>
                    <w:spacing w:line="242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130,37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7,07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5,65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12,72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7,10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5,68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12,78 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9,59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7,67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17,26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10,82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8,65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19,47 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912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10,87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8,70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19,57 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9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42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11,01  </w:t>
                  </w:r>
                </w:p>
              </w:tc>
              <w:tc>
                <w:tcPr>
                  <w:tcW w:type="dxa" w:w="186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2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8,81  </w:t>
                  </w:r>
                </w:p>
              </w:tc>
              <w:tc>
                <w:tcPr>
                  <w:tcW w:type="dxa" w:w="1392"/>
                  <w:tcBorders>
                    <w:start w:sz="3.20000000000027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2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19,82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-A1C1-F7FF e informe o código 946D-C1B6-A1C1-</w:t>
            </w:r>
          </w:p>
        </w:tc>
      </w:tr>
      <w:tr>
        <w:trPr>
          <w:trHeight w:hRule="exact" w:val="5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9422"/>
            </w:tblGrid>
            <w:tr>
              <w:trPr>
                <w:trHeight w:hRule="exact" w:val="294"/>
              </w:trPr>
              <w:tc>
                <w:tcPr>
                  <w:tcW w:type="dxa" w:w="9146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MISTA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78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84"/>
              <w:gridCol w:w="1884"/>
              <w:gridCol w:w="1884"/>
              <w:gridCol w:w="1884"/>
              <w:gridCol w:w="1884"/>
            </w:tblGrid>
            <w:tr>
              <w:trPr>
                <w:trHeight w:hRule="exact" w:val="516"/>
              </w:trPr>
              <w:tc>
                <w:tcPr>
                  <w:tcW w:type="dxa" w:w="2914"/>
                  <w:tcBorders>
                    <w:start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30,78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8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24,63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55,41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5,73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4,58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10,31 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5,78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4,63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10,41 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50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7,20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5,76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12,96 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2914"/>
                  <w:tcBorders>
                    <w:start w:sz="8.0" w:val="single" w:color="#000000"/>
                    <w:top w:sz="7.199999999999818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7.199999999999818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9,28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7,42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2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16,70 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9,37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7,49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16,86 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2914"/>
                  <w:tcBorders>
                    <w:start w:sz="8.0" w:val="single" w:color="#000000"/>
                    <w:top w:sz="8.0" w:val="single" w:color="#000000"/>
                    <w:end w:sz="7.2000000000000455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424"/>
                  <w:tcBorders>
                    <w:start w:sz="7.2000000000000455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2"/>
                  <w:tcBorders>
                    <w:start w:sz="8.0" w:val="single" w:color="#000000"/>
                    <w:top w:sz="8.0" w:val="single" w:color="#000000"/>
                    <w:end w:sz="7.200000000000273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9,42  </w:t>
                  </w:r>
                </w:p>
              </w:tc>
              <w:tc>
                <w:tcPr>
                  <w:tcW w:type="dxa" w:w="1864"/>
                  <w:tcBorders>
                    <w:start w:sz="7.200000000000273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32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7,54  </w:t>
                  </w:r>
                </w:p>
              </w:tc>
              <w:tc>
                <w:tcPr>
                  <w:tcW w:type="dxa" w:w="139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36" w:val="left"/>
                    </w:tabs>
                    <w:autoSpaceDE w:val="0"/>
                    <w:widowControl/>
                    <w:spacing w:line="240" w:lineRule="exact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16,96 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</w:t>
            </w:r>
          </w:p>
        </w:tc>
      </w:tr>
      <w:tr>
        <w:trPr>
          <w:trHeight w:hRule="exact" w:val="200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" w:after="0"/>
              <w:ind w:left="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O Valor da Tarifa de Esgoto, é equivalente a 80% do valor da Tarifa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154"/>
        </w:trPr>
        <w:tc>
          <w:tcPr>
            <w:tcW w:type="dxa" w:w="4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5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3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659, DE 21 DE OUTUBRO DE 2025 </w:t>
      </w:r>
    </w:p>
    <w:p>
      <w:pPr>
        <w:autoSpaceDN w:val="0"/>
        <w:autoSpaceDE w:val="0"/>
        <w:widowControl/>
        <w:spacing w:line="462" w:lineRule="exact" w:before="12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NORMAL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) </w:t>
      </w:r>
    </w:p>
    <w:p>
      <w:pPr>
        <w:autoSpaceDN w:val="0"/>
        <w:autoSpaceDE w:val="0"/>
        <w:widowControl/>
        <w:spacing w:line="354" w:lineRule="exact" w:before="356" w:after="132"/>
        <w:ind w:left="0" w:right="576" w:firstLine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6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1ª Faixa = de 0 a 10 m³ =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R$ 25,34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R$ 25,34) + (2ª Faixa = 10 m³ x R$ 5,09 = R$ 50,90)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R$ 5,16 = R$ 25,80)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(R$ 25,34 + R$ 50,90 + R$ 25,80)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R$ 102,04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3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10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R$ 20,27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R$ 20,27) + (2ª Faixa = 10 m³ x R$ 4,07 = R$ 40,70)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R$ 4,13 = R$ 20,65)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(R$ 20,26 + R$ 40,70 + R$ 20,65)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R$ 81,62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+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R$ 25,34) + (Tarifa de Esgoto = R$ 20,27)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(R$ 25,34 + R$ 20,27)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R$ 45,61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R$ 102,03) + (Tarifa de Esgoto = R$ 81,61)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(R$ 102,04 + R$ 81,62)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1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Total = R$ 183,66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659, DE 21 DE OUTUBRO DE 2025 </w:t>
      </w:r>
    </w:p>
    <w:p>
      <w:pPr>
        <w:autoSpaceDN w:val="0"/>
        <w:autoSpaceDE w:val="0"/>
        <w:widowControl/>
        <w:spacing w:line="586" w:lineRule="exact" w:before="2" w:after="258"/>
        <w:ind w:left="230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99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ÁGUA E ESGOTO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1 - Corte e reposição de capa asfáltica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337,65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2 - Corte e reposição de calçada de cimento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180,10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3 - Mudança de cavalete mais 1/2 ligação, material/ hidrômetro / CPH dupla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672,71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4 - Instalação de Til no esgoto c/conserto de calçada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404,86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5 - Instalação de Til no esgoto s/ conserto de calçada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226,29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6 - Ligação de Água da rede (Rua) até a calçada (sem reparo de asfalto e calçada)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513,40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7 - Ligações de Água da calçada até o cavalete (sem reparo de calçada) C/CPH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506,38 </w:t>
                  </w:r>
                </w:p>
              </w:tc>
            </w:tr>
            <w:tr>
              <w:trPr>
                <w:trHeight w:hRule="exact" w:val="54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8 - Ligação de Água completa da rede até o cavalete (sem reparo de asfalto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calçada) C/CPH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5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1.019,81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9 - Ligação completa de esgoto (com quebra de asfalto, calçada e til)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1.188,73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10 - Ligação de esgoto (sem quebra de asfalto e calçada) c/ TIL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676,33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11 - Ligação de Água completa de 1, 1/5 e 2 polegadas -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Orç. Específico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12 - Ligações de Água e Esgoto fora do padrão do DAEMO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Orç. Específico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13 - Adequação de cavalete (padrão antigo para CPH) c/conserto de calçada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577,90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14 - Adequação de cavalete (padrão antigo para CPH) s/conserto de calçada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397,71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Obs.: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Todas as ligações de água serão utilizadas a (CPH) caixa de proteção de hidrômetro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5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1 - Aviso de conta vencida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3,74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2 - Aferição de Hidrômetros (bancada de teste "in loco")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44,08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3 - Aprovação de projetos hidráulicos de Construção acima de 300 m²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44,44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4 - Desobstrução de Esgoto (interno)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125,08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5 - Despejo de Esgoto em Emissário M³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18,65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6 - Esgotamento urbano de (fossa e caixa de gordura)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174,99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7 - Emissão de segunda via da conta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2,96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8 - Emissão de Certidão de fornecimento de Água e Coleta de esgoto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44,44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9 - Elaboração de Diretrizes para loteamento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1.266,88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10 - Fornecimento de Água potável M³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39,93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11 - Fornecimento de Água de reuso M³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19,82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12 - Hidrojateamento de rede de esgoto e galeria (Hora)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310,74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13 - Homem/ Hora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23,07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14 - Km rodados para coleta de matérias e/ou esgoto no perímetro urbano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5,00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15 - Km rodados para coleta de matérias e/ou esgoto fora do perímetro urbano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9,53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16 - Máquina /Hora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168,04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17 - Outros reparos de vazamento no cavalete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42,25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6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18 - Religação de Água no cavalete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37,31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56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19 - Religação de esgoto </w:t>
                  </w:r>
                </w:p>
              </w:tc>
              <w:tc>
                <w:tcPr>
                  <w:tcW w:type="dxa" w:w="15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1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5043"/>
        <w:gridCol w:w="5043"/>
      </w:tblGrid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 Tarifa de religação Água ou Esgoto (na calçada)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249,62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Tarifa de inutilização de ponto de ligação de Água ou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88,08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Tarifa de vistoria de pedido de ligação de Água ou esgoto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44,03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 Tarifa de visita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16,79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 Tarifa de teste de vazamento c/ geofoneamento + homem/hora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44,03 </w:t>
            </w:r>
          </w:p>
        </w:tc>
      </w:tr>
      <w:tr>
        <w:trPr>
          <w:trHeight w:hRule="exact" w:val="314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Vistoria em pedido de faturamento por vazamentos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33,20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Supressão por inadimplência no cavalete/CHP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59,26 </w:t>
            </w:r>
          </w:p>
        </w:tc>
      </w:tr>
      <w:tr>
        <w:trPr>
          <w:trHeight w:hRule="exact" w:val="312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27 - Supressão por inadimplência na calçada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177,80 </w:t>
            </w:r>
          </w:p>
        </w:tc>
      </w:tr>
      <w:tr>
        <w:trPr>
          <w:trHeight w:hRule="exact" w:val="310"/>
        </w:trPr>
        <w:tc>
          <w:tcPr>
            <w:tcW w:type="dxa" w:w="756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28 -Tarifa de deslocamento p/desobstrução de esgoto ou fossa </w:t>
            </w:r>
          </w:p>
        </w:tc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39,89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684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4711"/>
              <w:gridCol w:w="4711"/>
            </w:tblGrid>
            <w:tr>
              <w:trPr>
                <w:trHeight w:hRule="exact" w:val="310"/>
              </w:trPr>
              <w:tc>
                <w:tcPr>
                  <w:tcW w:type="dxa" w:w="75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MATERIAIS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1 - Caixa Padrão para 01 hidrômetro c/ kit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201,97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5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2 - Caixa padrão para 2 hidrômetros c/ kit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297,63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3 - Hidrômetro (10 m³/h) c/ conexão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642,73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4 - Hidrômetro (20 m³/h) c/ conexão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1.090,28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7510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5 - Hidrômetro (30 m³/h) c/ conexão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1.191,67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75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6 - Hidrômetro (1,5m³) s/ conexões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119,95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75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7 - Til para esgoto c/ tampão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96,94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informe o código 946D-C1B6-A1C1-F7FF</w:t>
            </w:r>
          </w:p>
        </w:tc>
      </w:tr>
      <w:tr>
        <w:trPr>
          <w:trHeight w:hRule="exact" w:val="326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141"/>
              <w:gridCol w:w="3141"/>
              <w:gridCol w:w="3141"/>
            </w:tblGrid>
            <w:tr>
              <w:trPr>
                <w:trHeight w:hRule="exact" w:val="312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ESGOTO POR PESO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PESO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Lavatório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3,71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Bidê/ducha higiênica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Chuveiro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22,25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Banheira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3,71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Pia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7,41 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Tanque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22,25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Vaso Sanitário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11,13 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Lavador de Veículos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100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370,88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524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Posto de Gasolina (com lavador) </w:t>
                  </w:r>
                </w:p>
              </w:tc>
              <w:tc>
                <w:tcPr>
                  <w:tcW w:type="dxa" w:w="19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200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4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741,77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Nota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: Para cada peso será atribuído o valor de R$ 3,71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20"/>
        </w:trPr>
        <w:tc>
          <w:tcPr>
            <w:tcW w:type="dxa" w:w="9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2355"/>
              <w:gridCol w:w="2355"/>
              <w:gridCol w:w="2355"/>
              <w:gridCol w:w="2355"/>
            </w:tblGrid>
            <w:tr>
              <w:trPr>
                <w:trHeight w:hRule="exact" w:val="312"/>
              </w:trPr>
              <w:tc>
                <w:tcPr>
                  <w:tcW w:type="dxa" w:w="7510"/>
                  <w:gridSpan w:val="3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62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 </w:t>
                  </w:r>
                </w:p>
              </w:tc>
              <w:tc>
                <w:tcPr>
                  <w:tcW w:type="dxa" w:w="5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Ampliação de sistema de afastamento de esgoto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R$/hab.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189,80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62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II </w:t>
                  </w:r>
                </w:p>
              </w:tc>
              <w:tc>
                <w:tcPr>
                  <w:tcW w:type="dxa" w:w="5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Ampliação de sistema de produção de 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R$/hab.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262,08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62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III </w:t>
                  </w:r>
                </w:p>
              </w:tc>
              <w:tc>
                <w:tcPr>
                  <w:tcW w:type="dxa" w:w="5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Ampliação de sistema de reservação de água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R$/hab.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273,16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562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IV </w:t>
                  </w:r>
                </w:p>
              </w:tc>
              <w:tc>
                <w:tcPr>
                  <w:tcW w:type="dxa" w:w="524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Ampliação de sistema de tratamento de esgoto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R$/hab.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301,40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562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 </w:t>
                  </w:r>
                </w:p>
              </w:tc>
              <w:tc>
                <w:tcPr>
                  <w:tcW w:type="dxa" w:w="524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Reforço de Infraestrutura de água e esgoto em áreas já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urbanizadas em função de adensamento de construções </w:t>
                  </w:r>
                </w:p>
              </w:tc>
              <w:tc>
                <w:tcPr>
                  <w:tcW w:type="dxa" w:w="170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R$/hab. </w:t>
                  </w:r>
                </w:p>
              </w:tc>
              <w:tc>
                <w:tcPr>
                  <w:tcW w:type="dxa" w:w="156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16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497,98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1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6650990</wp:posOffset>
            </wp:positionV>
            <wp:extent cx="8505190" cy="90447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5190" cy="904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2209800</wp:posOffset>
            </wp:positionV>
            <wp:extent cx="8724900" cy="37084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hRule="exact" w:val="1214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21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3898900</wp:posOffset>
                  </wp:positionH>
                  <wp:positionV relativeFrom="page">
                    <wp:posOffset>359410</wp:posOffset>
                  </wp:positionV>
                  <wp:extent cx="2524760" cy="53721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537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2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vMerge w:val="restart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 e informe o código 946D-C1B6-A1C1-F7FF</w:t>
            </w:r>
          </w:p>
        </w:tc>
      </w:tr>
      <w:tr>
        <w:trPr>
          <w:trHeight w:hRule="exact" w:val="480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4" w:after="0"/>
              <w:ind w:left="0" w:right="46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RESOLUÇÃO ARES-PCJ Nº 659, DE 21 DE OUTUBRO DE 2025 </w:t>
            </w:r>
          </w:p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342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IV </w:t>
            </w:r>
          </w:p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</w:tr>
      <w:tr>
        <w:trPr>
          <w:trHeight w:hRule="exact" w:val="768"/>
        </w:trPr>
        <w:tc>
          <w:tcPr>
            <w:tcW w:type="dxa" w:w="10816"/>
            <w:gridSpan w:val="1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1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QUADRO 14 – FLUXO DE CAIXA DO EMPREENDIMENTO REEQUILIBRADO </w:t>
            </w:r>
          </w:p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bottom w:sz="3.2000000000000455" w:val="single" w:color="#000000"/>
            </w:tcBorders>
          </w:tcPr>
          <w:p/>
        </w:tc>
      </w:tr>
      <w:tr>
        <w:trPr>
          <w:trHeight w:hRule="exact" w:val="192"/>
        </w:trPr>
        <w:tc>
          <w:tcPr>
            <w:tcW w:type="dxa" w:w="10816"/>
            <w:gridSpan w:val="1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Quadro 14 - FLUXO DE CAIXA DO EMPREENDIMENTO REEQUIBILIBRADO</w:t>
            </w:r>
          </w:p>
        </w:tc>
        <w:tc>
          <w:tcPr>
            <w:tcW w:type="dxa" w:w="10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8" w:after="0"/>
              <w:ind w:left="212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8</w:t>
            </w:r>
          </w:p>
        </w:tc>
        <w:tc>
          <w:tcPr>
            <w:tcW w:type="dxa" w:w="8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8" w:after="0"/>
              <w:ind w:left="0" w:right="402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9</w:t>
            </w:r>
          </w:p>
        </w:tc>
        <w:tc>
          <w:tcPr>
            <w:tcW w:type="dxa" w:w="2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64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88" w:after="0"/>
              <w:ind w:left="9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10</w:t>
            </w:r>
          </w:p>
        </w:tc>
        <w:tc>
          <w:tcPr>
            <w:tcW w:type="dxa" w:w="1056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5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3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</w:t>
            </w:r>
          </w:p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33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 xml:space="preserve">Itens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50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Valor Total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2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36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596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24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396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0" w:right="57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00" w:after="0"/>
              <w:ind w:left="208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Ano 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Receita Total (sem reajustes)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1.225.003.323,19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35.420.599,63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35.892.170,61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37.200.569,79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37.740.147,36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38.090.897,31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38.296.238,62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38.509.019,58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38.692.011,59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39.025.826,19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39.479.690,13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Água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562.893.877,05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16.426.102,84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16.644.791,21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17.251.553,94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17.412.027,27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17.484.188,92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17.578.443,10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17.676.112,17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17.760.107,75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17.913.332,74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18.121.661,85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Esgoto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560.292.914,74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16.350.202,79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16.567.880,67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17.171.839,73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17.331.571,56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17.403.399,77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17.497.218,43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17.594.436,20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17.678.043,66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17.830.560,65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4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18.037.927,14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Serviços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128.155.612,94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3.739.776,47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3.789.565,86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3.927.709,22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3.964.244,63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3.980.673,87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4.002.132,98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4.024.369,57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4.043.493,08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4.078.378,24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4.125.809,10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Descontos Sociais e Inadimplência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26.339.081,54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1.095.482,46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1.110.067,13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1.150.533,09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967.696,09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777.365,25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781.555,89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785.898,36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789.632,89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796.445,43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4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805.707,96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Tributos sobre faturamento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45.673.997,77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1.332.837,00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1.350.581,68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1.399.815,26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1.412.836,29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1.418.691,58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1.426.339,50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1.434.264,50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1.441.080,02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1.453.512,91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4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1.470.417,03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PIS/COFINS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45.673.997,77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1.332.837,00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1.350.581,68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1.399.815,26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1.412.836,29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1.418.691,58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1.426.339,50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1.434.264,50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1.441.080,02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1.453.512,91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1.470.417,03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Receita Líquida (1-2)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1.179.329.325,42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34.087.762,64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34.541.588,93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35.800.754,54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36.327.311,08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36.672.205,73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36.869.899,12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37.074.755,08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37.250.931,57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37.572.313,28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88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38.009.273,10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Custo Operacional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481.740.427,93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16.346.293,64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15.748.019,04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15.303.906,27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14.974.098,11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15.041.859,90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15.056.155,54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15.087.727,88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15.150.162,90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15.214.123,34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8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15.211.211,91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Pessoal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21.671.712,00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Energia Elétrica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175.980.778,61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6.858.229,12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6.360.960,13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5.980.389,96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5.599.628,54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5.617.426,80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5.584.416,22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5.546.293,88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5.537.656,09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5.528.750,47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5.454.004,47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Produtos Químicos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7.531.909,24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398.246,19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240.110,55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239.620,70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239.123,68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239.756,64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238.485,97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237.023,78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236.666,28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236.298,74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233.464,39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Serviços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163.217.160,46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5.010.408,76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5.031.970,97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4.938.772,99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4.959.290,84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4.979.808,68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5.000.326,53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5.044.622,35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5.088.918,16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5.133.213,98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5.177.509,80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Outras Despesas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95.085.471,58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2.810.645,48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2.840.470,38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2.857.184,32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2.882.048,26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2.907.055,25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2.932.659,19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2.956.976,19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2.981.922,81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3.006.869,43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3.031.816,05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Taxa de Regulação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2.860.102,79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85.496,06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86.700,73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87.540,36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88.343,28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88.700,07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89.178,24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89.673,73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90.099,85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90.877,18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91.934,07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Verificador Independente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3.600.000,00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Outorga Variável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11.793.293,25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340.877,63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345.415,89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358.007,55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363.273,11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366.722,06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368.698,99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370.747,55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372.509,32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375.723,13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8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380.092,73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88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Depreciação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4.286.234,88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4.183.369,20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4.089.519,92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Depreciação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115.512.981,88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4.773.885,56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4.766.451,19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4.811.173,28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4.691.819,79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4.586.427,85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4.477.194,83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8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4.388.068,77</w:t>
            </w:r>
          </w:p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2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EBIT e IR/CSLL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22.100.768,67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22.358.189,94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6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22.798.061,19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3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EBITDA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697.588.897,49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17.741.468,99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18.793.569,89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20.496.848,27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21.353.212,96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21.630.345,83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21.813.743,57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21.987.027,20</w:t>
            </w:r>
          </w:p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(-) Depreciação Real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115.512.981,88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4.773.885,56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4.766.451,19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4.811.173,28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4.691.819,79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4.586.427,85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4.477.194,83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4.388.068,77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4.286.234,88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4.183.369,20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4.089.519,92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EBIT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582.075.915,61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12.967.583,44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14.027.118,70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15.685.674,99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16.661.393,18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17.043.917,99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17.336.548,74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17.598.958,43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17.814.533,79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18.174.820,74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16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18.708.541,27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Limite de 30%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2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Prejuízo acumulado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EBIT (descontando prejuizos à frente)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582.075.915,61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12.967.583,44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14.027.118,70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15.685.674,99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16.661.393,18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17.043.917,99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17.336.548,74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17.598.958,43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17.814.533,79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18.174.820,74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18.708.541,27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IR/CSLL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136.124.931,59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3.952.523,69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4.025.819,47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4.172.575,99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4.211.389,37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4.228.842,97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4.251.640,04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4.275.263,07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4.295.578,92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4.332.639,15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32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4.383.027,31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Lucro Líquido Total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445.950.984,01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9.015.059,75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10.001.299,23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11.513.099,00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12.450.003,81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12.815.075,02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13.084.908,70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13.323.695,35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13.518.954,87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13.842.181,59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14.325.513,96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CAPEX Total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187.530.416,01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78.776.737,97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80.022.086,48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973.864,07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935.641,65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818.679,82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1.272.691,12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752.162,08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737.907,83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942.174,97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6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959.676,96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Água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21.233.846,93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3.631.288,03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623.891,82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625.669,40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587.446,98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432.728,13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736.703,14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366.137,82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351.847,29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556.078,15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30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558.543,86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Esgoto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18.669.552,95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1.518.433,80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5.398.194,67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348.194,67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348.194,67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385.951,70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535.987,98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386.024,26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386.060,54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386.096,82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6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401.133,10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156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Outorga Fixa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148.000.000,00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8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74.000.000,00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74.000.000,00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20" w:after="0"/>
              <w:ind w:left="0" w:right="22" w:firstLine="0"/>
              <w:jc w:val="right"/>
            </w:pPr>
            <w:r>
              <w:rPr>
                <w:w w:val="101.32381439208984"/>
                <w:rFonts w:ascii="Calibri" w:hAnsi="Calibri" w:eastAsia="Calibri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Fluxo de Caixa Livre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19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373.933.549,88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-64.987.792,67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-65.254.336,06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15.350.408,21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18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16.206.181,95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16.582.823,04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0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16.289.412,42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0" w:firstLine="0"/>
              <w:jc w:val="center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16.959.602,05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190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17.067.281,92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0" w:right="24" w:firstLine="0"/>
              <w:jc w:val="righ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17.083.375,81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90" w:after="0"/>
              <w:ind w:left="18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17.455.356,92</w:t>
            </w:r>
          </w:p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760"/>
        </w:trPr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1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TIR (% a.a.)</w:t>
            </w:r>
          </w:p>
        </w:tc>
        <w:tc>
          <w:tcPr>
            <w:tcW w:type="dxa" w:w="92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6" w:after="0"/>
              <w:ind w:left="1034" w:right="0" w:firstLine="0"/>
              <w:jc w:val="left"/>
            </w:pPr>
            <w:r>
              <w:rPr>
                <w:w w:val="101.32381439208984"/>
                <w:rFonts w:ascii="Calibri" w:hAnsi="Calibri" w:eastAsia="Calibri"/>
                <w:b/>
                <w:i w:val="0"/>
                <w:color w:val="000000"/>
                <w:sz w:val="10"/>
              </w:rPr>
              <w:t>11,88%</w:t>
            </w:r>
          </w:p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082"/>
        </w:trPr>
        <w:tc>
          <w:tcPr>
            <w:tcW w:type="dxa" w:w="108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/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951"/>
            <w:vMerge/>
            <w:tcBorders>
              <w:top w:sz="3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0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6650990</wp:posOffset>
            </wp:positionV>
            <wp:extent cx="8505190" cy="90447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5190" cy="9044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1993900</wp:posOffset>
            </wp:positionV>
            <wp:extent cx="8724900" cy="36957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24900" cy="3695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  <w:gridCol w:w="1016"/>
      </w:tblGrid>
      <w:tr>
        <w:trPr>
          <w:trHeight w:hRule="exact" w:val="2680"/>
        </w:trPr>
        <w:tc>
          <w:tcPr>
            <w:tcW w:type="dxa" w:w="3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706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Quadro 14 - FLUXO DE CAIXA DO EMPREENDIMENT</w:t>
            </w: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 xml:space="preserve">O </w:t>
            </w: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REEQUIBILIBRADO</w:t>
            </w:r>
          </w:p>
        </w:tc>
        <w:tc>
          <w:tcPr>
            <w:tcW w:type="dxa" w:w="718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82"/>
            <w:gridSpan w:val="4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38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3898900</wp:posOffset>
                  </wp:positionH>
                  <wp:positionV relativeFrom="page">
                    <wp:posOffset>359410</wp:posOffset>
                  </wp:positionV>
                  <wp:extent cx="2524760" cy="53721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537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0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8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2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2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26.957599639892578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forme o código 946D-C1B6-A1C1-F7FF</w:t>
            </w:r>
          </w:p>
        </w:tc>
      </w:tr>
      <w:tr>
        <w:trPr>
          <w:trHeight w:hRule="exact" w:val="194"/>
        </w:trPr>
        <w:tc>
          <w:tcPr>
            <w:tcW w:type="dxa" w:w="2032"/>
            <w:gridSpan w:val="2"/>
            <w:vMerge/>
            <w:tcBorders/>
          </w:tcPr>
          <w:p/>
        </w:tc>
        <w:tc>
          <w:tcPr>
            <w:tcW w:type="dxa" w:w="718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3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11</w:t>
            </w:r>
          </w:p>
        </w:tc>
        <w:tc>
          <w:tcPr>
            <w:tcW w:type="dxa" w:w="962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12</w:t>
            </w:r>
          </w:p>
        </w:tc>
        <w:tc>
          <w:tcPr>
            <w:tcW w:type="dxa" w:w="1056"/>
            <w:vMerge w:val="restart"/>
            <w:tcBorders>
              <w:top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13</w:t>
            </w:r>
          </w:p>
        </w:tc>
        <w:tc>
          <w:tcPr>
            <w:tcW w:type="dxa" w:w="1140"/>
            <w:vMerge w:val="restart"/>
            <w:tcBorders>
              <w:start w:sz="26.957599639892578" w:val="single" w:color="#000000"/>
              <w:top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14</w:t>
            </w:r>
          </w:p>
        </w:tc>
        <w:tc>
          <w:tcPr>
            <w:tcW w:type="dxa" w:w="1324"/>
            <w:vMerge w:val="restart"/>
            <w:tcBorders>
              <w:start w:sz="26.957599639892578" w:val="single" w:color="#000000"/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0" w:right="63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15</w:t>
            </w:r>
          </w:p>
        </w:tc>
        <w:tc>
          <w:tcPr>
            <w:tcW w:type="dxa" w:w="960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14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16</w:t>
            </w:r>
          </w:p>
        </w:tc>
        <w:tc>
          <w:tcPr>
            <w:tcW w:type="dxa" w:w="1020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20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17</w:t>
            </w:r>
          </w:p>
        </w:tc>
        <w:tc>
          <w:tcPr>
            <w:tcW w:type="dxa" w:w="898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21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18</w:t>
            </w:r>
          </w:p>
        </w:tc>
        <w:tc>
          <w:tcPr>
            <w:tcW w:type="dxa" w:w="1002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19</w:t>
            </w:r>
          </w:p>
        </w:tc>
        <w:tc>
          <w:tcPr>
            <w:tcW w:type="dxa" w:w="320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728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" w:after="0"/>
              <w:ind w:left="4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Ano 20</w:t>
            </w:r>
          </w:p>
        </w:tc>
        <w:tc>
          <w:tcPr>
            <w:tcW w:type="dxa" w:w="1032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2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320"/>
            <w:vMerge w:val="restart"/>
            <w:tcBorders>
              <w:top w:sz="26.957599639892578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</w:t>
            </w:r>
          </w:p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0" w:after="0"/>
              <w:ind w:left="0" w:right="37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 xml:space="preserve">Itens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0" w:after="0"/>
              <w:ind w:left="0" w:right="66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Valor Total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top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Receita Total (sem reajustes)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1.225.003.323,19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39.799.554,93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40.119.419,73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40.439.284,53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40.741.845,20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41.026.947,09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41.294.435,52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41.544.155,85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41.793.876,18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42.043.596,51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42.293.316,84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Água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562.893.877,05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18.268.483,72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18.415.305,58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18.562.127,45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18.701.006,51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18.831.871,77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18.954.652,24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19.069.276,93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19.183.901,63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19.298.526,32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4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19.413.151,01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Esgoto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560.292.914,74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18.184.070,58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18.330.214,03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18.476.357,47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18.614.594,81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18.744.855,39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18.867.068,53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18.981.163,57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19.095.258,62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19.209.353,67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19.323.448,71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Serviços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128.155.612,94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4.159.236,45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4.192.663,79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4.226.091,13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4.257.710,11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4.287.504,57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4.315.458,34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4.341.555,26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4.367.652,18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4.393.749,11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4.419.846,03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Descontos Sociais e Inadimplência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26.339.081,54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812.235,81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818.763,67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825.291,52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831.466,23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837.284,63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842.743,58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847.839,92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852.936,25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858.032,58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0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863.128,92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Tributos sobre faturamento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45.673.997,77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1.482.330,36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1.494.243,69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1.506.157,03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1.517.425,87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1.528.044,46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1.538.007,04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1.547.307,85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1.556.608,65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1.565.909,46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1.575.210,27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PIS/COFINS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45.673.997,77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1.482.330,36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1.494.243,69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1.506.157,03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1.517.425,87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1.528.044,46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1.538.007,04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1.547.307,85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1.556.608,65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1.565.909,46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1.575.210,27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Receita Líquida (1-2)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1.179.329.325,42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38.317.224,57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38.625.176,04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38.933.127,50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39.224.419,33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39.498.902,63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39.756.428,49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39.996.848,01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40.237.267,53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40.477.687,05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40.718.106,57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Custo Operacional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481.740.427,93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15.330.307,57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15.448.137,79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15.566.600,73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15.684.212,43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15.800.965,30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15.917.487,53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16.031.864,09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16.146.876,46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16.261.888,82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16.376.901,19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Pessoal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21.671.712,00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722.390,40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Energia Elétrica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175.980.778,61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5.497.793,85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5.541.583,23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5.585.372,60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5.628.540,91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5.671.082,60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5.712.992,11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5.754.263,90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5.795.535,70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5.836.807,49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5.878.079,28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Produtos Químicos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7.531.909,24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235.071,14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236.677,90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238.284,65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239.868,14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241.428,15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242.964,48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244.476,91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245.989,34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247.501,77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249.014,20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Serviços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163.217.160,46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5.221.805,61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5.266.101,43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5.310.397,25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5.354.693,06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5.398.988,88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5.443.284,70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5.487.580,51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5.531.876,33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5.576.172,15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4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5.620.467,96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Outras Despesas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95.085.471,58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3.057.395,39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3.081.709,30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3.106.655,92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3.131.602,54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3.156.549,17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3.182.131,59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3.206.442,41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3.231.389,04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3.256.335,66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8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3.281.282,28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Taxa de Regulação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2.860.102,79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92.678,92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93.423,77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94.168,62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94.873,18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95.537,08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96.159,96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96.741,47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97.322,98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97.904,49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4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98.486,00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Verificador Independente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3.600.000,00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120.000,00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Outorga Variável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11.793.293,25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383.172,25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386.251,76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389.331,28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392.244,19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394.989,03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397.564,28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399.968,48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402.372,68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404.776,87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407.181,07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Depreciação</w:t>
            </w:r>
          </w:p>
        </w:tc>
        <w:tc>
          <w:tcPr>
            <w:tcW w:type="dxa" w:w="7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3.999.733,17</w:t>
            </w:r>
          </w:p>
        </w:tc>
        <w:tc>
          <w:tcPr>
            <w:tcW w:type="dxa" w:w="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3.934.246,19</w:t>
            </w:r>
          </w:p>
        </w:tc>
        <w:tc>
          <w:tcPr>
            <w:tcW w:type="dxa" w:w="1056"/>
            <w:vMerge w:val="restart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3.850.319,62</w:t>
            </w:r>
          </w:p>
        </w:tc>
        <w:tc>
          <w:tcPr>
            <w:tcW w:type="dxa" w:w="1140"/>
            <w:vMerge w:val="restart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3.770.545,06</w:t>
            </w:r>
          </w:p>
        </w:tc>
        <w:tc>
          <w:tcPr>
            <w:tcW w:type="dxa" w:w="1324"/>
            <w:vMerge w:val="restart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3.693.813,56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3.621.404,85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3.581.211,16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3.517.331,90</w:t>
            </w:r>
          </w:p>
        </w:tc>
        <w:tc>
          <w:tcPr>
            <w:tcW w:type="dxa" w:w="10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3.455.442,09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18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3.398.867,86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Depreciação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115.512.981,88</w:t>
            </w:r>
          </w:p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EBIT e IR/CSLL</w:t>
            </w:r>
          </w:p>
        </w:tc>
        <w:tc>
          <w:tcPr>
            <w:tcW w:type="dxa" w:w="7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22.986.917,00</w:t>
            </w:r>
          </w:p>
        </w:tc>
        <w:tc>
          <w:tcPr>
            <w:tcW w:type="dxa" w:w="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23.177.038,25</w:t>
            </w:r>
          </w:p>
        </w:tc>
        <w:tc>
          <w:tcPr>
            <w:tcW w:type="dxa" w:w="1056"/>
            <w:vMerge w:val="restart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23.366.526,78</w:t>
            </w:r>
          </w:p>
        </w:tc>
        <w:tc>
          <w:tcPr>
            <w:tcW w:type="dxa" w:w="1140"/>
            <w:vMerge w:val="restart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23.540.206,90</w:t>
            </w:r>
          </w:p>
        </w:tc>
        <w:tc>
          <w:tcPr>
            <w:tcW w:type="dxa" w:w="1324"/>
            <w:vMerge w:val="restart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23.697.937,33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23.838.940,96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23.964.983,92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24.090.391,07</w:t>
            </w:r>
          </w:p>
        </w:tc>
        <w:tc>
          <w:tcPr>
            <w:tcW w:type="dxa" w:w="10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24.215.798,23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24.341.205,38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3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EBITDA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4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697.588.897,49</w:t>
            </w:r>
          </w:p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(-) Depreciação Real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115.512.981,88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3.999.733,17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3.934.246,19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3.850.319,62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3.770.545,06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3.693.813,56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3.621.404,85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3.581.211,16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3.517.331,90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3.455.442,09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3.398.867,86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EBIT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582.075.915,61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18.987.183,84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19.242.792,06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19.516.207,16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19.769.661,85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20.004.123,77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20.217.536,11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20.383.772,76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20.573.059,17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20.760.356,14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3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20.942.337,52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Limite de 30%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Prejuízo acumulado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2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EBIT (descontando prejuizos à frente)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582.075.915,61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18.987.183,84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19.242.792,06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19.516.207,16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19.769.661,85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20.004.123,77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20.217.536,11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20.383.772,76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20.573.059,17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20.760.356,14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20.942.337,52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IR/CSLL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136.124.931,59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4.418.538,83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4.454.050,35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4.489.561,87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4.523.152,28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4.554.804,41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4.584.501,09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4.612.225,14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4.639.949,19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4.667.673,25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17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4.695.397,30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Lucro Líquido Total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445.950.984,01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14.568.645,00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14.788.741,71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15.026.645,28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15.246.509,56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15.449.319,36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15.633.035,03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15.771.547,62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15.933.109,98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16.092.682,89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8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16.246.940,23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CAPEX Total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187.530.416,01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162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1.535.348,11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949.680,93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967.182,92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954.684,91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972.186,90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1.647.252,42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1.012.190,87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964.692,86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982.194,85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8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984.696,84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Água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21.233.846,93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999.178,73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563.475,28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580.940,98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568.406,69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570.872,40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1.110.901,64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625.803,82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578.269,52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595.735,23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583.200,94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Esgoto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18.669.552,95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536.169,38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386.205,66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386.241,94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386.278,22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401.314,50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536.350,78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386.387,06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386.423,34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386.459,62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0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401.495,90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180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Outorga Fixa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148.000.000,00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56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140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324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8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6" w:after="0"/>
              <w:ind w:left="0" w:right="46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 w:val="0"/>
                <w:i w:val="0"/>
                <w:color w:val="000000"/>
                <w:sz w:val="10"/>
              </w:rPr>
              <w:t>0,00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Fluxo de Caixa Livre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35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373.933.549,88</w:t>
            </w:r>
          </w:p>
        </w:tc>
        <w:tc>
          <w:tcPr>
            <w:tcW w:type="dxa" w:w="7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17.033.030,06</w:t>
            </w:r>
          </w:p>
        </w:tc>
        <w:tc>
          <w:tcPr>
            <w:tcW w:type="dxa" w:w="9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17.773.306,96</w:t>
            </w:r>
          </w:p>
        </w:tc>
        <w:tc>
          <w:tcPr>
            <w:tcW w:type="dxa" w:w="1056"/>
            <w:vMerge w:val="restart"/>
            <w:tcBorders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17.909.781,98</w:t>
            </w:r>
          </w:p>
        </w:tc>
        <w:tc>
          <w:tcPr>
            <w:tcW w:type="dxa" w:w="1140"/>
            <w:vMerge w:val="restart"/>
            <w:tcBorders>
              <w:start w:sz="26.957599639892578" w:val="single" w:color="#000000"/>
              <w:end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18.062.369,71</w:t>
            </w:r>
          </w:p>
        </w:tc>
        <w:tc>
          <w:tcPr>
            <w:tcW w:type="dxa" w:w="1324"/>
            <w:vMerge w:val="restart"/>
            <w:tcBorders>
              <w:start w:sz="26.95759963989257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4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18.170.946,02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17.607.187,46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17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18.340.567,90</w:t>
            </w:r>
          </w:p>
        </w:tc>
        <w:tc>
          <w:tcPr>
            <w:tcW w:type="dxa" w:w="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48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18.485.749,02</w:t>
            </w:r>
          </w:p>
        </w:tc>
        <w:tc>
          <w:tcPr>
            <w:tcW w:type="dxa" w:w="10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2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18.565.930,13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12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18.661.111,25</w:t>
            </w:r>
          </w:p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9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38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TIR (% a.a.)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734" w:firstLine="0"/>
              <w:jc w:val="righ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11,88%</w:t>
            </w:r>
          </w:p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  <w:tr>
        <w:trPr>
          <w:trHeight w:hRule="exact" w:val="1262"/>
        </w:trPr>
        <w:tc>
          <w:tcPr>
            <w:tcW w:type="dxa" w:w="3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  <w:end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start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/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  <w:tc>
          <w:tcPr>
            <w:tcW w:type="dxa" w:w="1016"/>
            <w:vMerge/>
            <w:tcBorders>
              <w:top w:sz="26.95759963989257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04" w:right="206" w:bottom="114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6650990</wp:posOffset>
            </wp:positionV>
            <wp:extent cx="8505190" cy="90447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5190" cy="9044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803"/>
        <w:gridCol w:w="3803"/>
        <w:gridCol w:w="3803"/>
        <w:gridCol w:w="3803"/>
      </w:tblGrid>
      <w:tr>
        <w:trPr>
          <w:trHeight w:hRule="exact" w:val="2388"/>
        </w:trPr>
        <w:tc>
          <w:tcPr>
            <w:tcW w:type="dxa" w:w="13720"/>
            <w:gridSpan w:val="2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502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3898900</wp:posOffset>
                  </wp:positionH>
                  <wp:positionV relativeFrom="page">
                    <wp:posOffset>359410</wp:posOffset>
                  </wp:positionV>
                  <wp:extent cx="2524760" cy="53721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760" cy="5372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056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 o código 946D-C1B6-A1C1-F7FF</w:t>
            </w:r>
          </w:p>
        </w:tc>
      </w:tr>
      <w:tr>
        <w:trPr>
          <w:trHeight w:hRule="exact" w:val="186"/>
        </w:trPr>
        <w:tc>
          <w:tcPr>
            <w:tcW w:type="dxa" w:w="13720"/>
            <w:gridSpan w:val="2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14" w:right="0" w:firstLine="0"/>
              <w:jc w:val="left"/>
            </w:pPr>
            <w:r>
              <w:rPr>
                <w:w w:val="101.31561279296875"/>
                <w:rFonts w:ascii="Aptos Narrow" w:hAnsi="Aptos Narrow" w:eastAsia="Aptos Narrow"/>
                <w:b/>
                <w:i w:val="0"/>
                <w:color w:val="000000"/>
                <w:sz w:val="10"/>
              </w:rPr>
              <w:t>Quadro 14 - FLUXO DE CAIXA DO EMPREENDIMENTO REEQUIBILIBRADO</w:t>
            </w:r>
          </w:p>
        </w:tc>
        <w:tc>
          <w:tcPr>
            <w:tcW w:type="dxa" w:w="1056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85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RODRIGO LOPES DE FREITAS LEITÃO</w:t>
            </w:r>
          </w:p>
        </w:tc>
        <w:tc>
          <w:tcPr>
            <w:tcW w:type="dxa" w:w="320"/>
            <w:vMerge w:val="restart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https://stip-arespcj.1doc.com.br/verificacao/946D-C1B6-A1C1-F7FF e inform</w:t>
            </w:r>
          </w:p>
        </w:tc>
      </w:tr>
      <w:tr>
        <w:trPr>
          <w:trHeight w:hRule="exact" w:val="6820"/>
        </w:trPr>
        <w:tc>
          <w:tcPr>
            <w:tcW w:type="dxa" w:w="1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1705" w:type="dxa"/>
            </w:tblPr>
            <w:tblGrid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  <w:gridCol w:w="1143"/>
            </w:tblGrid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 xml:space="preserve">Itens 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Valor Total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21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22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23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24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25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27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28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29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shd w:fill="d0d0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Ano 30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Receita Total (sem reajustes)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1.225.003.323,19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42.543.037,17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42.792.757,50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43.042.477,83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43.292.198,16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43.541.918,49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43.703.950,32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43.876.283,34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44.059.000,02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44.252.182,85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44.455.914,31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Água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562.893.877,05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19.527.775,71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19.642.400,40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19.757.025,09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19.871.649,78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19.986.274,48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20.060.649,08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20.139.752,04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20.223.621,24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20.312.294,53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20.405.809,77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Esgoto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560.292.914,74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19.437.543,76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19.551.638,81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19.665.733,86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19.779.828,90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19.893.923,95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19.967.954,89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20.046.692,34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20.130.174,01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20.218.437,56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20.311.520,69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Serviços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128.155.612,94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4.445.942,95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4.472.039,87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4.498.136,80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4.524.233,72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4.550.330,64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4.567.263,71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4.585.273,30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4.604.368,04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4.624.556,53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4.645.847,41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Descontos Sociais e Inadimplência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26.339.081,54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868.225,25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873.321,58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878.417,91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883.514,25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888.610,58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891.917,35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895.434,35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899.163,27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903.105,77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907.263,56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Tributos sobre faturamento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45.673.997,77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1.584.511,08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1.593.811,89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1.603.112,69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1.612.413,50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1.621.714,31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1.627.749,17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1.634.167,70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1.640.972,96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1.648.168,03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1.655.755,99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PIS/COFINS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45.673.997,77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1.584.511,08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1.593.811,89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1.603.112,69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1.612.413,50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1.621.714,31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1.627.749,17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1.634.167,70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1.640.972,96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1.648.168,03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1.655.755,99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Receita Líquida (1-2)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1.179.329.325,42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40.958.526,09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41.198.945,61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41.439.365,13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41.679.784,66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41.920.204,18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42.076.201,15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42.242.115,64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42.418.027,06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42.604.014,81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42.800.158,32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8636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Custo Operacional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8636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481.740.427,93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8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16.492.715,45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8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16.606.925,92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8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16.721.938,29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8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16.836.950,65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8636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16.951.963,02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8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17.063.303,76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8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17.173.867,29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8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17.285.583,58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8636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17.397.814,74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8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17.510.564,80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Pessoal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21.671.712,00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722.390,40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2000000000000455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Energia Elétrica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2000000000000455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175.980.778,61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5.919.351,07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5.960.622,86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6.001.894,66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6.043.166,45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2000000000000455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6.084.438,24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6.122.562,77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6.161.057,02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2000000000000455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6.199.923,95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2000000000000455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6.239.166,53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2000000000000455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6.278.787,72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Produtos Químicos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7.531.909,24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250.526,63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252.039,06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253.551,49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255.063,92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256.576,35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257.970,87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259.379,23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260.801,56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262.237,97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8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263.688,55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8636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Serviços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8636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163.217.160,46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8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5.664.763,78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8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5.709.059,59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8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5.753.355,41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8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5.797.651,23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8636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5.841.947,04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8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5.886.242,86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8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5.930.538,68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8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5.974.834,49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8636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6.019.130,31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8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6.063.426,13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Outras Despesas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95.085.471,58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3.307.030,79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3.331.175,53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3.356.122,15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3.381.068,77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3.406.015,39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3.431.604,00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3.455.908,64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3.480.855,26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3.505.801,89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3.530.748,51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Taxa de Regulação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2.860.102,79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99.067,51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99.649,02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100.230,53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100.812,04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101.393,55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101.770,86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102.172,16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102.597,65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103.047,50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103.521,92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Verificador Independente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3.600.000,00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120.000,00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Outorga Variável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11.793.293,25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409.585,26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411.989,46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414.393,65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416.797,85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419.202,04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420.762,01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422.421,16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424.180,27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426.040,15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428.001,58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Depreciação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Depreciação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115.512.981,88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3.347.344,95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3.334.539,49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3.299.513,07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3.263.333,99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3.244.900,02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3.232.347,20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3.270.596,69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3.307.948,03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3.384.038,72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3.951.359,02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EBIT e IR/CSLL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EBITDA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697.588.897,49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24.465.810,65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24.592.019,69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24.717.426,85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24.842.834,00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24.968.241,16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25.012.897,39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25.068.248,36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25.132.443,47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25.206.200,07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25.289.593,51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(-) Depreciação Real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115.512.981,88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3.347.344,95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3.334.539,49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3.299.513,07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3.263.333,99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3.244.900,02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3.232.347,20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3.270.596,69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3.307.948,03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3.384.038,72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8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3.951.359,02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EBIT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582.075.915,61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21.118.465,70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21.257.480,20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21.417.913,78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21.579.500,01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21.723.341,13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21.780.550,19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21.797.651,67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21.824.495,44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21.822.161,35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21.338.234,49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Limite de 30%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Prejuízo acumulado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EBIT (descontando prejuizos à frente)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582.075.915,61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21.118.465,70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21.257.480,20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21.417.913,78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21.579.500,01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21.723.341,13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21.780.550,19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21.797.651,67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21.824.495,44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21.822.161,35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21.338.234,49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IR/CSLL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136.124.931,59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4.723.121,35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4.750.845,40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4.778.569,46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4.806.293,51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4.834.017,56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4.852.006,40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4.871.138,88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4.891.424,17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4.912.871,40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4.935.489,75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Lucro Líquido Total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445.950.984,01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16.395.344,35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16.506.634,80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16.639.344,32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16.773.206,50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16.889.323,57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16.928.543,78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16.926.512,79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16.933.071,28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16.909.289,95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16.402.744,74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399999999999636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399999999999636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399999999999636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399999999999636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399999999999636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399999999999636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CAPEX Total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187.530.416,01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1.574.156,73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1.074.700,82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937.202,80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1.044.704,79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957.206,78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1.254.093,07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971.806,13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863.371,45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824.936,78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866.502,11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Água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21.233.846,93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937.624,55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588.132,36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550.598,07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658.063,77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555.529,48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867.379,49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435.056,27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476.585,32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438.114,36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479.643,41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Esgoto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18.669.552,95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636.532,18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486.568,46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386.604,74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386.641,02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401.677,30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386.713,58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536.749,86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386.786,14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386.822,42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auto" w:before="16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386.858,70</w:t>
                  </w:r>
                </w:p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156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Outorga Fixa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148.000.000,00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4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 w:val="0"/>
                      <w:i w:val="0"/>
                      <w:color w:val="000000"/>
                      <w:sz w:val="10"/>
                    </w:rPr>
                    <w:t>0,00</w:t>
                  </w:r>
                </w:p>
              </w:tc>
            </w:tr>
            <w:tr>
              <w:trPr>
                <w:trHeight w:hRule="exact" w:val="134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8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2.399999999999636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2"/>
                  <w:tcBorders>
                    <w:start w:sz="2.399999999999636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3.199999999999818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8"/>
                  <w:tcBorders>
                    <w:start w:sz="2.399999999999636" w:val="single" w:color="#000000"/>
                    <w:top w:sz="2.400000000000091" w:val="single" w:color="#000000"/>
                    <w:end w:sz="2.4000000000005457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24"/>
                  <w:tcBorders>
                    <w:start w:sz="2.4000000000005457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3.199999999999818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Fluxo de Caixa Livre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3.199999999999818" w:val="single" w:color="#000000"/>
                    <w:end w:sz="2.3999999999998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373.933.549,88</w:t>
                  </w:r>
                </w:p>
              </w:tc>
              <w:tc>
                <w:tcPr>
                  <w:tcW w:type="dxa" w:w="1026"/>
                  <w:tcBorders>
                    <w:start w:sz="2.3999999999998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18.168.532,57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18.766.473,47</w:t>
                  </w:r>
                </w:p>
              </w:tc>
              <w:tc>
                <w:tcPr>
                  <w:tcW w:type="dxa" w:w="1026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19.001.654,59</w:t>
                  </w:r>
                </w:p>
              </w:tc>
              <w:tc>
                <w:tcPr>
                  <w:tcW w:type="dxa" w:w="1140"/>
                  <w:tcBorders>
                    <w:start w:sz="2.399999999999636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2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18.991.835,70</w:t>
                  </w:r>
                </w:p>
              </w:tc>
              <w:tc>
                <w:tcPr>
                  <w:tcW w:type="dxa" w:w="1092"/>
                  <w:tcBorders>
                    <w:start w:sz="2.399999999999636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19.177.016,81</w:t>
                  </w:r>
                </w:p>
              </w:tc>
              <w:tc>
                <w:tcPr>
                  <w:tcW w:type="dxa" w:w="1024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18.906.797,92</w:t>
                  </w:r>
                </w:p>
              </w:tc>
              <w:tc>
                <w:tcPr>
                  <w:tcW w:type="dxa" w:w="102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19.225.303,35</w:t>
                  </w:r>
                </w:p>
              </w:tc>
              <w:tc>
                <w:tcPr>
                  <w:tcW w:type="dxa" w:w="1024"/>
                  <w:tcBorders>
                    <w:start w:sz="3.199999999999818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19.377.647,85</w:t>
                  </w:r>
                </w:p>
              </w:tc>
              <w:tc>
                <w:tcPr>
                  <w:tcW w:type="dxa" w:w="1028"/>
                  <w:tcBorders>
                    <w:start w:sz="2.399999999999636" w:val="single" w:color="#000000"/>
                    <w:top w:sz="3.199999999999818" w:val="single" w:color="#000000"/>
                    <w:end w:sz="2.4000000000005457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10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19.468.391,89</w:t>
                  </w:r>
                </w:p>
              </w:tc>
              <w:tc>
                <w:tcPr>
                  <w:tcW w:type="dxa" w:w="1024"/>
                  <w:tcBorders>
                    <w:start w:sz="2.4000000000005457" w:val="single" w:color="#000000"/>
                    <w:top w:sz="3.199999999999818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0" w:right="8" w:firstLine="0"/>
                    <w:jc w:val="righ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19.487.601,65</w:t>
                  </w:r>
                </w:p>
              </w:tc>
            </w:tr>
            <w:tr>
              <w:trPr>
                <w:trHeight w:hRule="exact" w:val="112"/>
              </w:trPr>
              <w:tc>
                <w:tcPr>
                  <w:tcW w:type="dxa" w:w="2192"/>
                  <w:tcBorders>
                    <w:start w:sz="2.3999999999999773" w:val="single" w:color="#000000"/>
                    <w:top w:sz="2.400000000000091" w:val="single" w:color="#000000"/>
                    <w:end w:sz="2.400000000000091" w:val="single" w:color="#000000"/>
                    <w:bottom w:sz="2.400000000000091" w:val="single" w:color="#000000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14" w:right="0" w:firstLine="0"/>
                    <w:jc w:val="left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TIR (% a.a.)</w:t>
                  </w:r>
                </w:p>
              </w:tc>
              <w:tc>
                <w:tcPr>
                  <w:tcW w:type="dxa" w:w="1084"/>
                  <w:tcBorders>
                    <w:start w:sz="2.400000000000091" w:val="single" w:color="#000000"/>
                    <w:top w:sz="2.400000000000091" w:val="single" w:color="#000000"/>
                    <w:end w:sz="2.3999999999998636" w:val="single" w:color="#000000"/>
                    <w:bottom w:sz="2.400000000000091" w:val="single" w:color="#000000"/>
                  </w:tcBorders>
                  <w:shd w:fill="e8e8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w w:val="101.31561279296875"/>
                      <w:rFonts w:ascii="Aptos Narrow" w:hAnsi="Aptos Narrow" w:eastAsia="Aptos Narrow"/>
                      <w:b/>
                      <w:i w:val="0"/>
                      <w:color w:val="000000"/>
                      <w:sz w:val="10"/>
                    </w:rPr>
                    <w:t>11,88%</w:t>
                  </w:r>
                </w:p>
              </w:tc>
              <w:tc>
                <w:tcPr>
                  <w:tcW w:type="dxa" w:w="10436"/>
                  <w:gridSpan w:val="10"/>
                  <w:tcBorders>
                    <w:start w:sz="2.3999999999998636" w:val="single" w:color="#000000"/>
                    <w:top w:sz="2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3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803"/>
            <w:vMerge/>
            <w:tcBorders>
              <w:top w:sz="2.400000000000091" w:val="single" w:color="#000000"/>
            </w:tcBorders>
          </w:tcPr>
          <w:p/>
        </w:tc>
      </w:tr>
      <w:tr>
        <w:trPr>
          <w:trHeight w:hRule="exact" w:val="1402"/>
        </w:trPr>
        <w:tc>
          <w:tcPr>
            <w:tcW w:type="dxa" w:w="8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5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659 – 21/10/2025 </w:t>
            </w:r>
          </w:p>
        </w:tc>
        <w:tc>
          <w:tcPr>
            <w:tcW w:type="dxa" w:w="5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96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3803"/>
            <w:vMerge/>
            <w:tcBorders>
              <w:top w:sz="2.400000000000091" w:val="single" w:color="#000000"/>
            </w:tcBorders>
          </w:tcPr>
          <w:p/>
        </w:tc>
        <w:tc>
          <w:tcPr>
            <w:tcW w:type="dxa" w:w="3803"/>
            <w:vMerge/>
            <w:tcBorders>
              <w:top w:sz="2.40000000000009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04" w:right="206" w:bottom="11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946D-C1B6-A1C1-F7FF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144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RODRIGO LOPES DE FREITAS LEITÃO (CPF 281.XXX.XXX-51) em 29/10/2025 17:27:36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7" w:history="1">
          <w:r>
            <w:rPr>
              <w:rStyle w:val="Hyperlink"/>
            </w:rPr>
            <w:t>https://stip-arespcj.1doc.com.br/verificacao/946D-C1B6-A1C1-F7FF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stip-arespcj.1doc.com.br/verificacao/946D-C1B6-A1C1-F7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