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8109" cy="92259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82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666, DE 02 DE DEZEMBRO DE 2025 </w:t>
      </w:r>
    </w:p>
    <w:p>
      <w:pPr>
        <w:autoSpaceDN w:val="0"/>
        <w:tabs>
          <w:tab w:pos="7624" w:val="left"/>
        </w:tabs>
        <w:autoSpaceDE w:val="0"/>
        <w:widowControl/>
        <w:spacing w:line="280" w:lineRule="exact" w:before="570" w:after="0"/>
        <w:ind w:left="4254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3"/>
        </w:rPr>
        <w:t xml:space="preserve">Altera dispositivos do Anexo I da Resolução ARES-PCJ nº </w:t>
      </w:r>
      <w:r>
        <w:rPr>
          <w:rFonts w:ascii="Calibri" w:hAnsi="Calibri" w:eastAsia="Calibri"/>
          <w:b w:val="0"/>
          <w:i/>
          <w:color w:val="000000"/>
          <w:sz w:val="23"/>
        </w:rPr>
        <w:t xml:space="preserve">435/2022, que dispõe sobre </w:t>
      </w:r>
      <w:r>
        <w:tab/>
      </w:r>
      <w:r>
        <w:rPr>
          <w:rFonts w:ascii="Calibri" w:hAnsi="Calibri" w:eastAsia="Calibri"/>
          <w:b w:val="0"/>
          <w:i/>
          <w:color w:val="000000"/>
          <w:sz w:val="23"/>
        </w:rPr>
        <w:t xml:space="preserve">procedimentos e </w:t>
      </w:r>
      <w:r>
        <w:rPr>
          <w:rFonts w:ascii="Calibri" w:hAnsi="Calibri" w:eastAsia="Calibri"/>
          <w:b w:val="0"/>
          <w:i/>
          <w:color w:val="000000"/>
          <w:sz w:val="23"/>
        </w:rPr>
        <w:t xml:space="preserve">metodologia de cálculo aplicáveis aos processos de </w:t>
      </w:r>
      <w:r>
        <w:rPr>
          <w:rFonts w:ascii="Calibri" w:hAnsi="Calibri" w:eastAsia="Calibri"/>
          <w:b w:val="0"/>
          <w:i/>
          <w:color w:val="000000"/>
          <w:sz w:val="23"/>
        </w:rPr>
        <w:t xml:space="preserve">reajustes e revisões tarifários dos prestadores de </w:t>
      </w:r>
      <w:r>
        <w:rPr>
          <w:rFonts w:ascii="Calibri" w:hAnsi="Calibri" w:eastAsia="Calibri"/>
          <w:b w:val="0"/>
          <w:i/>
          <w:color w:val="000000"/>
          <w:sz w:val="23"/>
        </w:rPr>
        <w:t xml:space="preserve">serviços públicos de abastecimento de água e </w:t>
      </w:r>
      <w:r>
        <w:rPr>
          <w:rFonts w:ascii="Calibri" w:hAnsi="Calibri" w:eastAsia="Calibri"/>
          <w:b w:val="0"/>
          <w:i/>
          <w:color w:val="000000"/>
          <w:sz w:val="23"/>
        </w:rPr>
        <w:t xml:space="preserve">esgotamento sanitário nos municípios associados à </w:t>
      </w:r>
      <w:r>
        <w:rPr>
          <w:rFonts w:ascii="Calibri" w:hAnsi="Calibri" w:eastAsia="Calibri"/>
          <w:b w:val="0"/>
          <w:i/>
          <w:color w:val="000000"/>
          <w:sz w:val="23"/>
        </w:rPr>
        <w:t>ARES-PCJ e dá outras providências.</w:t>
      </w:r>
    </w:p>
    <w:p>
      <w:pPr>
        <w:autoSpaceDN w:val="0"/>
        <w:autoSpaceDE w:val="0"/>
        <w:widowControl/>
        <w:spacing w:line="232" w:lineRule="exact" w:before="326" w:after="2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>A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3"/>
        </w:rPr>
        <w:t>da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AGÊNCIA REGULADORA DOS SERVIÇOS DE SANEAMENTO DAS BACIAS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6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DOS RIOS PIRACICABA, CAPIVARI E JUNDIAÍ (AGÊNCIA REGULADORA ARES-PCJ),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no uso das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https://stip-arespcj.1doc.com.br/verificacao/FE3A-E34F-06C4-614A e informe o código FE3A-E34F-06C4-614A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atribuições que lhe conferem a Cláusula 32ª, inc. IV, do Protocolo de Intenções da ARES-PCJ,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convertido em Contrato de Consórcio Público, e o art. 29, inc. IV, do Estatuto da ARES-PCJ;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Que a Lei federal nº 11.445/2007, nos termos do artigo 23, incisos I, IV e X, confere à entidade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reguladora competência para editar normas regulatórias de natureza técnica, econômica e social,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incluindo padrões de qualidade na prestação dos serviços e no atendimento ao público;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Que o Protocolo de Intenções da Agência Reguladora ARES-PCJ, convertido em Contrato de Consórcio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Público, nos termos da Cláusula 13ª, § único, incisos I, III e IV, dispõe sobre a gestão associada,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transferência e delegação das competências municipais para o exercício das atividades de regulação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 fiscalização, fixação, reajuste e revisão das tarifas, taxas ou preços públicos relativos à prestação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dos serviços públicos de saneamento básico à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Que a Resolução ARES-PCJ nº 435, de 01 de junho de 2022, estabelece a metodologia aplicável aos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processos de Revisão Tarifária e Reajuste Tarifário dos prestadores de serviços de saneamento básico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regulados pela Agência Reguladora ARES-PCJ na modalidade de prestação direta, disciplinando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premissas e parâmetros necessários ao cálculo tarifário;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Que se faz necessário o contínuo aprimoramento técnico das metodologias e instrumentos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regulatórios, de modo a reforçar a rastreabilidade das informações econômico-financeiras e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transparência dos processos de análise tarifária;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Que a experiência adquirida na aplicação da Resolução ARES-PCJ nº 435/2022 evidenciou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conveniência de desdobramento e maior especificação das rubricas de recursos financeiros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considerados no cálculo tarifário, permitindo adequada vinculação entre fontes de financiamento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seus respectivos usos regulatórios;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Que essa experiência também evidenciou a pertinência de harmonizar a atualização monetária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itens que compõem a modelagem tarifária, evitando assimetrias e assegurando coerência entre 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critérios de correção aplicáveis aos investimentos financiados com recursos externos;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Que, em face do exposto, a Diretoria Colegiada da ARES-PCJ, reunida em 02 de dezembro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666 – 02/12/2025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6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8109" cy="92259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2" w:lineRule="exact" w:before="37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 xml:space="preserve">RESOLVE: </w:t>
      </w:r>
    </w:p>
    <w:p>
      <w:pPr>
        <w:autoSpaceDN w:val="0"/>
        <w:autoSpaceDE w:val="0"/>
        <w:widowControl/>
        <w:spacing w:line="280" w:lineRule="exact" w:before="28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Art. 1º - Dar nova redação a itens do Anexo I da Resolução ARES-PCJ nº 435/2022, que passam 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vigorar com as seguintes alterações: </w:t>
      </w:r>
    </w:p>
    <w:p>
      <w:pPr>
        <w:autoSpaceDN w:val="0"/>
        <w:autoSpaceDE w:val="0"/>
        <w:widowControl/>
        <w:spacing w:line="320" w:lineRule="exact" w:before="2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I – Na seção: </w:t>
      </w:r>
      <w:r>
        <w:rPr>
          <w:rFonts w:ascii="Calibri" w:hAnsi="Calibri" w:eastAsia="Calibri"/>
          <w:b/>
          <w:i w:val="0"/>
          <w:color w:val="000000"/>
          <w:sz w:val="23"/>
        </w:rPr>
        <w:t>1.2.2 – Cálculo da Tarifa Média Necessária (TMN)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, temos: </w:t>
      </w:r>
    </w:p>
    <w:p>
      <w:pPr>
        <w:autoSpaceDN w:val="0"/>
        <w:tabs>
          <w:tab w:pos="284" w:val="left"/>
        </w:tabs>
        <w:autoSpaceDE w:val="0"/>
        <w:widowControl/>
        <w:spacing w:line="250" w:lineRule="exact" w:before="30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>No item: “</w:t>
      </w:r>
      <w:r>
        <w:rPr>
          <w:rFonts w:ascii="Calibri" w:hAnsi="Calibri" w:eastAsia="Calibri"/>
          <w:b/>
          <w:i w:val="0"/>
          <w:color w:val="000000"/>
          <w:sz w:val="23"/>
        </w:rPr>
        <w:t>a) Rol de Contas Regulatórias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”, ficam incluídos os seguintes desdobramentos do grupo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Recursos de Disponibilidade Financeira: </w:t>
      </w:r>
    </w:p>
    <w:p>
      <w:pPr>
        <w:autoSpaceDN w:val="0"/>
        <w:autoSpaceDE w:val="0"/>
        <w:widowControl/>
        <w:spacing w:line="280" w:lineRule="exact" w:before="282" w:after="78"/>
        <w:ind w:left="568" w:right="1584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 xml:space="preserve">- Recursos de Disponibilidade Financeira para Investimentos (RDF-I)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- Recursos de Disponibilidade Financeira para Gastos de Exploração e APP (RDF-O)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1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0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No item: “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b) Tarifa Média Necessária de Exploração (TMN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”, fica incluída a nova denominação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https://stip-arespcj.1doc.com.br/verificacao/FE3A-E34F-06C4-614A e informe o código FE3A-E34F-06C4-614A</w:t>
            </w:r>
          </w:p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dos Recursos de Disponibilidade Financeira para Gastos de Exploração e APP (RDF-O) na fórmula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Tarifa Média Necessária de Exploração (TMN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No item: “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c)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Tarifa Média Necessária – Investimentos (TMN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I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”, fica incluída a nova denominação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dos Recursos de Disponibilidade Financeira para Investimentos (RDF-I) na fórmula da Tarifa Média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Necessária de Investimentos (TMN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II – Na seção: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1.3.2 – Composição e Descrição de Índices Inflacionários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, temos: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7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No Item: “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Recursos Externos para Investimentos – IPCA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”, leia-se: “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Recursos Externos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Investimentos – INCC-DI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”.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No item: “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Recursos de Disponibilidade Financeira (RDF) – IPCA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”, passa a constar: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2" w:after="0"/>
              <w:ind w:left="568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a) Recursos de Disponibilidade Financeira para Investimentos (RDF-I) – INCC-DI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b) Recursos de Disponibilidade Financeira para Gastos de Exploração e APP (RDF-O) – IPCA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§ 1º As alterações de que tratam os incisos I e II são apresentadas igualmente no Anexo desta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§ 2º Para o disposto nos incisos I e II as fórmulas passam a assumir possibilidade de valores positivos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ou negativos para os Recursos de Disponibilidade Financeira.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Art. 2º - Permanecem inalterados os demais dispositivos vigentes da Resolução ARES-PCJ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435/2022.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Art. 3º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24" w:after="0"/>
              <w:ind w:left="0" w:right="365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4" w:after="0"/>
              <w:ind w:left="0" w:right="361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Diretor Geral da ARES-PCJ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666 – 02/12/2025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6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8109" cy="92259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2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92" w:val="left"/>
          <w:tab w:pos="2310" w:val="left"/>
          <w:tab w:pos="4330" w:val="left"/>
        </w:tabs>
        <w:autoSpaceDE w:val="0"/>
        <w:widowControl/>
        <w:spacing w:line="586" w:lineRule="exact" w:before="76" w:after="176"/>
        <w:ind w:left="12" w:right="1728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666, DE 02 DE DEZEMBRO DE 2025 </w:t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DA RESOLUÇÃO ARES-PCJ Nº 435/2022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1.2.2 - CÁLCULO DA TARIFA MÉDIA NECESSÁRIA (TMN)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(...)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Rol de Contas Regulatórias: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4"/>
        <w:gridCol w:w="2524"/>
        <w:gridCol w:w="2524"/>
        <w:gridCol w:w="2524"/>
      </w:tblGrid>
      <w:tr>
        <w:trPr>
          <w:trHeight w:hRule="exact" w:val="432"/>
        </w:trPr>
        <w:tc>
          <w:tcPr>
            <w:tcW w:type="dxa" w:w="95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5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rol de contas regulatórias utilizadas para cálculo da TMN compreende detalhamento dos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https://stip-arespcj.1doc.com.br/verificacao/FE3A-E34F-06C4-614A e informe o código FE3A-E34F-06C4-614A</w:t>
            </w:r>
          </w:p>
        </w:tc>
      </w:tr>
      <w:tr>
        <w:trPr>
          <w:trHeight w:hRule="exact" w:val="420"/>
        </w:trPr>
        <w:tc>
          <w:tcPr>
            <w:tcW w:type="dxa" w:w="95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grupos que compõe o cálculo da defasagem tarifária além da inclusão de itens, conforme segue: </w:t>
            </w:r>
          </w:p>
        </w:tc>
        <w:tc>
          <w:tcPr>
            <w:tcW w:type="dxa" w:w="2524"/>
            <w:vMerge/>
            <w:tcBorders/>
          </w:tcPr>
          <w:p/>
        </w:tc>
        <w:tc>
          <w:tcPr>
            <w:tcW w:type="dxa" w:w="2524"/>
            <w:vMerge/>
            <w:tcBorders/>
          </w:tcPr>
          <w:p/>
        </w:tc>
      </w:tr>
      <w:tr>
        <w:trPr>
          <w:trHeight w:hRule="exact" w:val="9240"/>
        </w:trPr>
        <w:tc>
          <w:tcPr>
            <w:tcW w:type="dxa" w:w="95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534"/>
            </w:tblGrid>
            <w:tr>
              <w:trPr>
                <w:trHeight w:hRule="exact" w:val="314"/>
              </w:trPr>
              <w:tc>
                <w:tcPr>
                  <w:tcW w:type="dxa" w:w="9358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GASTOS DE EXPLORAÇÃO (GEX)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9358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34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Pessoal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9358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8" w:after="0"/>
                    <w:ind w:left="34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Materiais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9358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62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Materiais de Processo (Produtos Químicos)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9358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2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Materiais de Consumo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9358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62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Materiais de Manutenção e Conservação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9358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62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Combustíveis e Lubrificantes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9358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62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Demais Materiais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9358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34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Serviços de Terceiros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9358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62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Serviços de Terceiros - Manutenção e Conservação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9358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2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Aluguéis Diversos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9358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62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Parceira Privada (Concessão Parcial)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9358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2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Demais Serviços de Terceiros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9358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34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Energia Elétrica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9358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34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Outras Despesas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9358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AMORTIZAÇÃO DE DÍVIDAS, PROVISÕES E PRECATÓRIOS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9358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34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Amortização de Dívidas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9358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34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Provisões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9358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34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Precatórios, Sentenças e Acordos Judiciais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9358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72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INVESTIMENTOS COM RECURSOS PRÓPRIOS (IRP)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9358"/>
                  <w:tcBorders>
                    <w:start w:sz="8.0" w:val="single" w:color="#000000"/>
                    <w:top w:sz="7.200000000000728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OUTRAS RECEITAS (OR)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9358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INVESTIMENTOS COM RECURSOS EXTERNOS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9358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RECURSOS EXTERNOS PARA INVESTIMENTOS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9358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RECURSOS DE DISPONIBILIDADE FINANCEIRA (RDF)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9358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34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Recursos de Disponibilidade Financeira para Investimentos (RDF-I)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9358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34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Recursos de disponibilidade financeira para Despesas de Exploração e APP (RDF-O)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9358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VARIAÇÕES TARIFÁRIAS A COMPENSAR (VTC)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9358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VOLUME FATURADO (VF)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4"/>
            <w:vMerge/>
            <w:tcBorders/>
          </w:tcPr>
          <w:p/>
        </w:tc>
        <w:tc>
          <w:tcPr>
            <w:tcW w:type="dxa" w:w="2524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6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4" w:after="0"/>
              <w:ind w:left="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666 – 02/12/2025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6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4"/>
            <w:vMerge/>
            <w:tcBorders/>
          </w:tcPr>
          <w:p/>
        </w:tc>
        <w:tc>
          <w:tcPr>
            <w:tcW w:type="dxa" w:w="252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8109" cy="92259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4" w:lineRule="exact" w:before="324" w:after="564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 Tarifa Média Necessária – Exploração (TMN</w:t>
      </w:r>
      <w:r>
        <w:rPr>
          <w:rFonts w:ascii="Calibri" w:hAnsi="Calibri" w:eastAsia="Calibri"/>
          <w:b/>
          <w:i w:val="0"/>
          <w:color w:val="000000"/>
          <w:sz w:val="16"/>
        </w:rPr>
        <w:t>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):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086"/>
      </w:tblGrid>
      <w:tr>
        <w:trPr>
          <w:trHeight w:hRule="exact" w:val="426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30.0" w:type="dxa"/>
            </w:tblPr>
            <w:tblGrid>
              <w:gridCol w:w="2693"/>
              <w:gridCol w:w="2693"/>
              <w:gridCol w:w="2693"/>
            </w:tblGrid>
            <w:tr>
              <w:trPr>
                <w:trHeight w:hRule="exact" w:val="412"/>
              </w:trPr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6" w:after="0"/>
                    <w:ind w:left="0" w:right="0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4"/>
                    </w:rPr>
                    <w:t>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3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(tÞ1,2)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[GEX</w:t>
                  </w:r>
                </w:p>
              </w:tc>
              <w:tc>
                <w:tcPr>
                  <w:tcW w:type="dxa" w:w="4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36" w:lineRule="exact" w:before="0" w:after="0"/>
                    <w:ind w:left="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+ APP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– OR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+ ou – VTC + ou – RDF-O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]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6"/>
        </w:trPr>
        <w:tc>
          <w:tcPr>
            <w:tcW w:type="dxa" w:w="8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0.0" w:type="dxa"/>
            </w:tblPr>
            <w:tblGrid>
              <w:gridCol w:w="2693"/>
              <w:gridCol w:w="2693"/>
              <w:gridCol w:w="2693"/>
            </w:tblGrid>
            <w:tr>
              <w:trPr>
                <w:trHeight w:hRule="exact" w:val="466"/>
              </w:trPr>
              <w:tc>
                <w:tcPr>
                  <w:tcW w:type="dxa" w:w="2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TMN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 xml:space="preserve">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=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6" w:lineRule="exact" w:before="0" w:after="0"/>
                    <w:ind w:left="0" w:right="0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4"/>
                    </w:rPr>
                    <w:t>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 xml:space="preserve"> (tÞ1,2)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VF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4" w:after="0"/>
                    <w:ind w:left="1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6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Onde: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https://stip-arespcj.1doc.com.br/verificacao/FE3A-E34F-06C4-614A e informe o código FE3A-E34F-06C4-614A</w:t>
            </w:r>
          </w:p>
        </w:tc>
      </w:tr>
      <w:tr>
        <w:trPr>
          <w:trHeight w:hRule="exact" w:val="26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TMN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Tarifa Média Necessária - Exploração;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GEX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Gastos de Exploração projetadas para o período “t”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APP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Amortização de Dívidas, Provisões e Precatórios projetados para o período “t”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OR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Outras Receitas projetadas para o período “t”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VTC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= Variação Tarifária a Compensar (Superávit\Déficit), para os períodos “t”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RDF-O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Recursos de Disponibilidade Financeira para Gastos de Exploração e APP no período “t”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VF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Volume Faturado no período “t”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Período do ciclo tarifário em anos, variando de 1 a 2.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c) Tarifa Média Necessária – Investimentos (TMN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I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):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9522"/>
            </w:tblGrid>
            <w:tr>
              <w:trPr>
                <w:trHeight w:hRule="exact" w:val="426"/>
              </w:trPr>
              <w:tc>
                <w:tcPr>
                  <w:tcW w:type="dxa" w:w="510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70.0" w:type="dxa"/>
                  </w:tblPr>
                  <w:tblGrid>
                    <w:gridCol w:w="1701"/>
                    <w:gridCol w:w="1701"/>
                    <w:gridCol w:w="1701"/>
                  </w:tblGrid>
                  <w:tr>
                    <w:trPr>
                      <w:trHeight w:hRule="exact" w:val="410"/>
                    </w:trPr>
                    <w:tc>
                      <w:tcPr>
                        <w:tcW w:type="dxa" w:w="8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94" w:lineRule="exact" w:before="6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SymbolMT" w:hAnsi="SymbolMT" w:eastAsia="SymbolMT"/>
                            <w:b w:val="0"/>
                            <w:i w:val="0"/>
                            <w:color w:val="000000"/>
                            <w:sz w:val="24"/>
                          </w:rPr>
                          <w:t></w:t>
                        </w:r>
                      </w:p>
                    </w:tc>
                    <w:tc>
                      <w:tcPr>
                        <w:tcW w:type="dxa" w:w="3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3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16"/>
                          </w:rPr>
                          <w:t xml:space="preserve"> (tÞ1,2)</w:t>
                        </w: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 IRP </w:t>
                        </w: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16"/>
                          </w:rPr>
                          <w:t>t</w:t>
                        </w: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>+ IRX</w:t>
                        </w: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16"/>
                          </w:rPr>
                          <w:t>t</w:t>
                        </w: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 - REI</w:t>
                        </w: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16"/>
                          </w:rPr>
                          <w:t>t</w:t>
                        </w: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 + ou – RDF-I</w:t>
                        </w:r>
                      </w:p>
                    </w:tc>
                    <w:tc>
                      <w:tcPr>
                        <w:tcW w:type="dxa" w:w="1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08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16"/>
                          </w:rPr>
                          <w:t>t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1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0.0" w:type="dxa"/>
                  </w:tblPr>
                  <w:tblGrid>
                    <w:gridCol w:w="1701"/>
                    <w:gridCol w:w="1701"/>
                    <w:gridCol w:w="1701"/>
                  </w:tblGrid>
                  <w:tr>
                    <w:trPr>
                      <w:trHeight w:hRule="exact" w:val="470"/>
                    </w:trPr>
                    <w:tc>
                      <w:tcPr>
                        <w:tcW w:type="dxa" w:w="1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0" w:after="0"/>
                          <w:ind w:left="16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>TMN</w:t>
                        </w: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16"/>
                          </w:rPr>
                          <w:t>I</w:t>
                        </w: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 = </w:t>
                        </w:r>
                      </w:p>
                    </w:tc>
                    <w:tc>
                      <w:tcPr>
                        <w:tcW w:type="dxa" w:w="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94" w:lineRule="exact" w:before="64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SymbolMT" w:hAnsi="SymbolMT" w:eastAsia="SymbolMT"/>
                            <w:b w:val="0"/>
                            <w:i w:val="0"/>
                            <w:color w:val="000000"/>
                            <w:sz w:val="24"/>
                          </w:rPr>
                          <w:t></w:t>
                        </w:r>
                      </w:p>
                    </w:tc>
                    <w:tc>
                      <w:tcPr>
                        <w:tcW w:type="dxa" w:w="1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36" w:lineRule="exact" w:before="54" w:after="0"/>
                          <w:ind w:left="1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16"/>
                          </w:rPr>
                          <w:t xml:space="preserve"> (tÞ1,2) </w:t>
                        </w: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VF </w:t>
                        </w: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16"/>
                          </w:rPr>
                          <w:t>t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5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0" w:right="259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TMN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Tarifa Média Necessária - Investimentos;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IRP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Investimentos – Recursos Próprios projetados para o período “t”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IRX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Investimentos com Recursos Externos “t”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REI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Recursos Externos para Investimentos “t”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99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0" w:after="0"/>
              <w:ind w:left="0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RDF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Recursos de Disponibilidade Financeira para Investimentos projetados para o período “t”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VF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Volume Faturado no período “t”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Período do ciclo tarifário em anos, variando de 1 a 4.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4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0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666 – 02/12/2025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46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8109" cy="92259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2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76" w:after="0"/>
        <w:ind w:left="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(...) </w:t>
      </w:r>
    </w:p>
    <w:p>
      <w:pPr>
        <w:autoSpaceDN w:val="0"/>
        <w:autoSpaceDE w:val="0"/>
        <w:widowControl/>
        <w:spacing w:line="240" w:lineRule="exact" w:before="346" w:after="254"/>
        <w:ind w:left="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1.3.1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COMPOSIÇÃO E DESCRIÇÃO DE ÍNDICES INFLACIONÁRIOS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4"/>
        <w:gridCol w:w="2524"/>
        <w:gridCol w:w="2524"/>
        <w:gridCol w:w="2524"/>
      </w:tblGrid>
      <w:tr>
        <w:trPr>
          <w:trHeight w:hRule="exact" w:val="12428"/>
        </w:trPr>
        <w:tc>
          <w:tcPr>
            <w:tcW w:type="dxa" w:w="95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757"/>
              <w:gridCol w:w="4757"/>
            </w:tblGrid>
            <w:tr>
              <w:trPr>
                <w:trHeight w:hRule="exact" w:val="608"/>
              </w:trPr>
              <w:tc>
                <w:tcPr>
                  <w:tcW w:type="dxa" w:w="737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ITEM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8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ÍNDICE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DE CORREÇÃO </w:t>
                  </w:r>
                </w:p>
              </w:tc>
            </w:tr>
            <w:tr>
              <w:trPr>
                <w:trHeight w:hRule="exact" w:val="414"/>
              </w:trPr>
              <w:tc>
                <w:tcPr>
                  <w:tcW w:type="dxa" w:w="9358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DESPESAS DE EXPLORAÇÃO (DEX)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737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6" w:after="0"/>
                    <w:ind w:left="34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Pessoal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INPC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737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34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Materiais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18"/>
              </w:trPr>
              <w:tc>
                <w:tcPr>
                  <w:tcW w:type="dxa" w:w="737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6" w:after="0"/>
                    <w:ind w:left="62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Materiais de Processo (Produtos Químicos)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IGP-M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737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2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Materiais de Consumo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IPCA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737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2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Materiais de Manutenção e Conservação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INCC-DI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737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2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Combustíveis e Lubrificantes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IPCA-SP Transp. 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737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8" w:after="0"/>
                    <w:ind w:left="62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Demais Materiais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IPCA </w:t>
                  </w:r>
                </w:p>
              </w:tc>
            </w:tr>
            <w:tr>
              <w:trPr>
                <w:trHeight w:hRule="exact" w:val="414"/>
              </w:trPr>
              <w:tc>
                <w:tcPr>
                  <w:tcW w:type="dxa" w:w="7372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34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Serviços de Terceiros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16"/>
              </w:trPr>
              <w:tc>
                <w:tcPr>
                  <w:tcW w:type="dxa" w:w="737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Serviços de Terceiros - Manutenção e Conservação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IPCA 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737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8" w:after="0"/>
                    <w:ind w:left="6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Aluguéis Diversos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IGP-M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737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Concessão Tratamento de Esgoto/Parceria Público-Privada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CONTRATO </w:t>
                  </w:r>
                </w:p>
              </w:tc>
            </w:tr>
            <w:tr>
              <w:trPr>
                <w:trHeight w:hRule="exact" w:val="414"/>
              </w:trPr>
              <w:tc>
                <w:tcPr>
                  <w:tcW w:type="dxa" w:w="737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6" w:after="0"/>
                    <w:ind w:left="6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Demais Serviços de Terceiros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IPCA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737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34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Energia Elétrica (R$)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ANEEL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737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34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Outras Despesas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IPCA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9358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273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AMORTIZAÇÃO DE DÍVIDAS, PROVISÕES E PRECATÓRIOS (APP)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7372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34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Amortização de Dívidas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IPCA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737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34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Provisões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IPCA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737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34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Precatórios, Sentenças e Acordos Judiciais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IPCA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737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INVESTIMENTOS COM RECURSOS PRÓPRIOS (IRP)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INCC-DI </w:t>
                  </w:r>
                </w:p>
              </w:tc>
            </w:tr>
            <w:tr>
              <w:trPr>
                <w:trHeight w:hRule="exact" w:val="414"/>
              </w:trPr>
              <w:tc>
                <w:tcPr>
                  <w:tcW w:type="dxa" w:w="737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INVESTIMENTOS COM RECURSOS EXTERNOS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INCC-DI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737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RECURSOS EXTERNOS PARA INVESTIMENTOS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INCC-DI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737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OUTRAS RECEITAS (OR)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IPCA </w:t>
                  </w:r>
                </w:p>
              </w:tc>
            </w:tr>
            <w:tr>
              <w:trPr>
                <w:trHeight w:hRule="exact" w:val="418"/>
              </w:trPr>
              <w:tc>
                <w:tcPr>
                  <w:tcW w:type="dxa" w:w="9358"/>
                  <w:gridSpan w:val="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RECURSOS DE DISPONIBILIDADE FINANCEIRA (RDF)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737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41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Recursos de Disponibilidade Financeira para Investimentos (RDF-I)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INCC-DI </w:t>
                  </w:r>
                </w:p>
              </w:tc>
            </w:tr>
            <w:tr>
              <w:trPr>
                <w:trHeight w:hRule="exact" w:val="606"/>
              </w:trPr>
              <w:tc>
                <w:tcPr>
                  <w:tcW w:type="dxa" w:w="7372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41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Recursos de disponibilidade financeira para Despesas de Exploração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 APP (RDF-O)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7.20000000000072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IPCA </w:t>
                  </w:r>
                </w:p>
              </w:tc>
            </w:tr>
            <w:tr>
              <w:trPr>
                <w:trHeight w:hRule="exact" w:val="398"/>
              </w:trPr>
              <w:tc>
                <w:tcPr>
                  <w:tcW w:type="dxa" w:w="737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VARIAÇÕES TARIFÁRIAS A COMPENSAR (VTC) </w:t>
                  </w:r>
                </w:p>
              </w:tc>
              <w:tc>
                <w:tcPr>
                  <w:tcW w:type="dxa" w:w="198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IPCA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https://stip-arespcj.1doc.com.br/verificacao/FE3A-E34F-06C4-614A e informe o código FE3A-E34F-06C4-614A</w:t>
            </w:r>
          </w:p>
        </w:tc>
      </w:tr>
      <w:tr>
        <w:trPr>
          <w:trHeight w:hRule="exact" w:val="614"/>
        </w:trPr>
        <w:tc>
          <w:tcPr>
            <w:tcW w:type="dxa" w:w="6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4" w:after="0"/>
              <w:ind w:left="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666 – 02/12/2025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6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4"/>
            <w:vMerge/>
            <w:tcBorders/>
          </w:tcPr>
          <w:p/>
        </w:tc>
        <w:tc>
          <w:tcPr>
            <w:tcW w:type="dxa" w:w="252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58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FE3A-E34F-06C4-614A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04/12/2025 10:35:21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16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https://stip-arespcj.1doc.com.br/verificacao/FE3A-E34F-06C4-614A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FE3A-E34F-06C4-614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