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9763760</wp:posOffset>
            </wp:positionV>
            <wp:extent cx="7736840" cy="95167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516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320" w:after="0"/>
        <w:ind w:left="134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684, DE 23 DE JANEIRO DE 2026 </w:t>
      </w:r>
    </w:p>
    <w:p>
      <w:pPr>
        <w:autoSpaceDN w:val="0"/>
        <w:autoSpaceDE w:val="0"/>
        <w:widowControl/>
        <w:spacing w:line="292" w:lineRule="exact" w:before="548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alteração da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200, de 17 de julho de 2017, que trata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Regulamento de Prestação dos Serviços Públicos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de Água e de Esgotamento Sanitário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Atendimento aos Usuários do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Indaiatuba, e dá outras providências. </w:t>
      </w:r>
    </w:p>
    <w:p>
      <w:pPr>
        <w:autoSpaceDN w:val="0"/>
        <w:autoSpaceDE w:val="0"/>
        <w:widowControl/>
        <w:spacing w:line="292" w:lineRule="exact" w:before="296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suas atribuições e na forma da Cláusula 32ª, inciso III, do Protocolo de Intenções da ARES-PCJ,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https://stip-arespcj.1doc.com.br/verificacao/5256-A08B-CBFF-13D0 e informe o código 5256-A08B-CBFF-13D0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Artigo 28, inciso III,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através das premissas constantes na Lei Federal nº 11.445, de 05 de janeiro de 2007, 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Decreto Federal nº 7.217, de 21 de junho de 2010, e da Lei municipal nº 6.428, de 25 de março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2015, o Município de Indaiatuba ratificou o Protocolo de Intenções da ARES-PCJ, e delegou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competências municipais de regulação e fiscalização da qualidade da prestação dos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de saneamento básico à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artigo 23 da Lei Federal nº 11.445/2007 define os aspectos normativos em que as agências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reguladoras editarão normas relativas às dimensões técnica, econômica e social de prestação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saneamento básico;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os preceitos norteadores da Resolução ARES-PCJ nº 50/2014, em especial os artigos 45 e 46,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delimitam a forma e a obrigação do prestador de serviços de saneamento básico em editar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 de Prestação de Serviços, visando a divulgação do padrão normativo aos usuários;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Serviço Autônomo de Água e Esgoto de Indaiatuba - SAAE, órgão responsável pelos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abastecimento de água e esgotamento sanitário no município, em conformidade com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Resolução ARES-PCJ nº 50/2014 e suas alterações, requereu análise das modificações propostas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seu Regulamento, que disciplina a forma de prestação dos serviços e atendimento;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 concluiu que as alterações propostas no Regulamento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de Serviços, apresentadas pelo SAAE - Indaiatuba, atendem aos conteúdos mínimos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estabelecidos pela Resolução ARES-PCJ nº 50/2014, para a eficiente prestação dos serviços,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cumprindo todas as ressalvas;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diretrizes, a Diretoria Colegiada da ARES-PCJ, reunida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23 de janeiro de 2026,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684 – 23/01/2026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9763760</wp:posOffset>
            </wp:positionV>
            <wp:extent cx="7736840" cy="95167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516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tabs>
          <w:tab w:pos="568" w:val="left"/>
        </w:tabs>
        <w:autoSpaceDE w:val="0"/>
        <w:widowControl/>
        <w:spacing w:line="450" w:lineRule="exact" w:before="428" w:after="0"/>
        <w:ind w:left="0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1º. Alterar integralmente os incisos I a IV e incluir o inciso V no art. 3º, da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200, de 17 de julho de 2017, que passam a vigorar com a seguinte redação: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3º ........................................................................................................................ </w:t>
      </w:r>
    </w:p>
    <w:p>
      <w:pPr>
        <w:autoSpaceDN w:val="0"/>
        <w:tabs>
          <w:tab w:pos="1494" w:val="left"/>
          <w:tab w:pos="1854" w:val="left"/>
        </w:tabs>
        <w:autoSpaceDE w:val="0"/>
        <w:widowControl/>
        <w:spacing w:line="296" w:lineRule="exact" w:before="558" w:after="2"/>
        <w:ind w:left="568" w:right="1152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 - Federais: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>a.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Lei 11.445/2007 – Estabelece diretrizes nacionais para o saneamento </w:t>
      </w:r>
      <w:r>
        <w:tab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básico.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b.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Decreto 7.217/2010 – Regulamenta a Lei n. 11.445/2007, que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https://stip-arespcj.1doc.com.br/verificacao/5256-A08B-CBFF-13D0 e informe o código 5256-A08B-CBFF-13D0</w:t>
            </w:r>
          </w:p>
        </w:tc>
      </w:tr>
      <w:tr>
        <w:trPr>
          <w:trHeight w:hRule="exact" w:val="28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estabelece diretrizes nacionais para o saneamento básico, e dá outras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providências.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 - Estaduais: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Lei 997/1976 – Dispõe sobre o controle da poluição do meio ambiente.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b.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Decreto 8.468/1976 – Aprova o Regulamento da Lei 997/1976,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dispõe sobre a prevenção e o controle da poluição do meio ambiente.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III - Municipais: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Lei Complementar n. 10/2010 – dispõe sobre a alteração, atualização,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revisão e consolidação da Lei 4.066, de 24.09.2001, que dispõe sobre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ordenamento do uso e da ocupação do solo do município de Indaiatuba.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b.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Lei Complementar n. 09/2010 – Dispõe sobre a revisão e consolidação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da Lei 4.067 de 24.09.2001, que dispõe sobre a instituição do Plano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Diretor do Município de Indaiatuba – PDI e dá outras providências.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6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Decreto Municipal n. 833/70 – Aprova o Regimento Interno do Serviço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Autônomo de Água e Esgotos –SAAE.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Lei Municipal n. 1015/68 – Cria o Serviço de Água e Esgotos e dá outras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providências.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e.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Lei Municipal n. 1115/71 – Dispõe sobre alteração da Lei 1.015 de 02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julho de 1968 e dá outras providências.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f.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Lei Municipal n. 2140/85 – Dispõe sobre a estrutura administrativa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Prefeitura Municipal de Indaiatuba e dá outras providências.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g.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Lei Municipal n. 5206/07- Acresce artigo à Lei 1.015/68, que cria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 Autônomo de Água e Esgoto – SAAE e dá outras providências.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h.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Lei Municipal n. 6092/12 – Acresce dispositivos à Lei 1.015 de 02 de julho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1.968, que cria o Serviço Autônomo de Água e Esgotos –SAAE e dá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outras providências.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IV - Associação Brasileira de Normas Técnicas (ABNT):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NBR 12215:1991 – Projeto de adutora de água para abastecimento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 – Procedimento.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b.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NBR 12217:1994 – Projeto de reservatório de distribuição de água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público – Procedimento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9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684 – 23/01/2026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9763760</wp:posOffset>
            </wp:positionV>
            <wp:extent cx="7736840" cy="95167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516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2" w:lineRule="exact" w:before="266" w:after="0"/>
        <w:ind w:left="149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c.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NBR 12218:1994 – Projeto de rede de distribuição de água para </w:t>
      </w:r>
    </w:p>
    <w:p>
      <w:pPr>
        <w:autoSpaceDN w:val="0"/>
        <w:autoSpaceDE w:val="0"/>
        <w:widowControl/>
        <w:spacing w:line="240" w:lineRule="exact" w:before="30" w:after="0"/>
        <w:ind w:left="185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público. </w:t>
      </w:r>
    </w:p>
    <w:p>
      <w:pPr>
        <w:autoSpaceDN w:val="0"/>
        <w:autoSpaceDE w:val="0"/>
        <w:widowControl/>
        <w:spacing w:line="312" w:lineRule="exact" w:before="4" w:after="0"/>
        <w:ind w:left="149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d.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NBR 12212:2006 – Poço tubular – Projeto de poço tubular para captação </w:t>
      </w:r>
    </w:p>
    <w:p>
      <w:pPr>
        <w:autoSpaceDN w:val="0"/>
        <w:autoSpaceDE w:val="0"/>
        <w:widowControl/>
        <w:spacing w:line="240" w:lineRule="exact" w:before="30" w:after="0"/>
        <w:ind w:left="185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de água subterrânea. </w:t>
      </w:r>
    </w:p>
    <w:p>
      <w:pPr>
        <w:autoSpaceDN w:val="0"/>
        <w:tabs>
          <w:tab w:pos="1854" w:val="left"/>
        </w:tabs>
        <w:autoSpaceDE w:val="0"/>
        <w:widowControl/>
        <w:spacing w:line="292" w:lineRule="exact" w:before="24" w:after="0"/>
        <w:ind w:left="1494" w:right="1152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e.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NBR 12213:2006 – Projeto de captação de água de superfície para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público – Procedimento. </w:t>
      </w:r>
    </w:p>
    <w:p>
      <w:pPr>
        <w:autoSpaceDN w:val="0"/>
        <w:autoSpaceDE w:val="0"/>
        <w:widowControl/>
        <w:spacing w:line="312" w:lineRule="exact" w:before="0" w:after="0"/>
        <w:ind w:left="149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f.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NBR 12244:2006 – Poço tubular – Construção de poço tubular para </w:t>
      </w:r>
    </w:p>
    <w:p>
      <w:pPr>
        <w:autoSpaceDN w:val="0"/>
        <w:autoSpaceDE w:val="0"/>
        <w:widowControl/>
        <w:spacing w:line="242" w:lineRule="exact" w:before="28" w:after="0"/>
        <w:ind w:left="185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captação de água subterrânea. </w:t>
      </w:r>
    </w:p>
    <w:p>
      <w:pPr>
        <w:autoSpaceDN w:val="0"/>
        <w:tabs>
          <w:tab w:pos="1854" w:val="left"/>
        </w:tabs>
        <w:autoSpaceDE w:val="0"/>
        <w:widowControl/>
        <w:spacing w:line="292" w:lineRule="exact" w:before="24" w:after="0"/>
        <w:ind w:left="1494" w:right="1152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g.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NBR 12216:1992 – Projeto de estação de tratamento de água para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público – Procedimento. </w:t>
      </w:r>
    </w:p>
    <w:p>
      <w:pPr>
        <w:autoSpaceDN w:val="0"/>
        <w:autoSpaceDE w:val="0"/>
        <w:widowControl/>
        <w:spacing w:line="314" w:lineRule="exact" w:before="0" w:after="0"/>
        <w:ind w:left="149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h.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NBR 5626:1998 – Instalação predial de água fria. </w:t>
      </w:r>
    </w:p>
    <w:p>
      <w:pPr>
        <w:autoSpaceDN w:val="0"/>
        <w:autoSpaceDE w:val="0"/>
        <w:widowControl/>
        <w:spacing w:line="312" w:lineRule="exact" w:before="0" w:after="16"/>
        <w:ind w:left="149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i.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NBR 9649:1986 – Projeto de redes coletoras de esgoto sanitário –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4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Procedimento.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https://stip-arespcj.1doc.com.br/verificacao/5256-A08B-CBFF-13D0 e informe o código 5256-A08B-CBFF-13D0</w:t>
            </w:r>
          </w:p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j.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NBR 7367:1998 – Projeto e assentamento de tubulações de PVC rígido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para sistemas de esgoto sanitário.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k.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NBR 12207:1992 – Projeto de interceptores de esgoto sanitário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Procedimento.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l.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NBR 9814:1987 – Execução de rede coletora de esgoto sanitário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Procedimento.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m.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NBR 12208:1992 – Projeto de estações elevatórias de esgoto sanitário -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Procedimento.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n.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NBR 12209:2011 – Elaboração de projetos hidráulico-sanitários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estações de tratamento de esgotos sanitários.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o.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NBR 7229:1993 – Projeto, construção e operação de sistemas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tanques sépticos.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NBR 13969:1997 – Tanques sépticos – Unidades de tratamento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complementar e disposição final dos efluentes líquidos – Projeto,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construção e operação.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q.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NBR 8160:1999 – Sistemas prediais de esgoto sanitário – Projeto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execução.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 -  Resoluções da Agência Reguladora ARES-PCJ: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Resolução ARES-PCJ nº 50/2014 – Estabelece as condições gerais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prestação dos serviços públicos de abastecimento de água tratada 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esgotamento sanitário, no âmbito dos municípios associados à Agência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Reguladora PCJ, e dá outras providências.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b.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Resolução ARES-PCJ nº 592/2024 – Estabelece critérios mínimos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Aplicação da Tarifa Social pelos prestadores de serviços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saneamento.”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2º. Alterar o § 1º do art. 15, da Resolução ARES-PCJ nº 200, de 17 de julho de 2017,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15. .........................................................................................................................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1º Excepcionalmente, para os loteamentos urbanisticamente aprovados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Prefeitura Municipal de Indaiatuba e pelo SAAE Indaiatuba, poderão ser aceitos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684 – 23/01/2026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9763760</wp:posOffset>
            </wp:positionV>
            <wp:extent cx="7736840" cy="95167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516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4" w:lineRule="exact" w:before="252" w:after="0"/>
        <w:ind w:left="568" w:right="124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contratos de compra e venda, acrescidos de documento que confirme a situação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regular do loteamento, expedido pela Secretaria Municipal de Planejamento Urbano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Engenharia da PMI.” </w:t>
      </w:r>
    </w:p>
    <w:p>
      <w:pPr>
        <w:autoSpaceDN w:val="0"/>
        <w:autoSpaceDE w:val="0"/>
        <w:widowControl/>
        <w:spacing w:line="294" w:lineRule="exact" w:before="26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Transformar o parágrafo único em § 1º e incluir o § 2º ao art. 17, da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200, de 17 de julho de 2017, que passa a vigorar com a seguinte redação: </w:t>
      </w:r>
    </w:p>
    <w:p>
      <w:pPr>
        <w:autoSpaceDN w:val="0"/>
        <w:autoSpaceDE w:val="0"/>
        <w:widowControl/>
        <w:spacing w:line="322" w:lineRule="exact" w:before="296" w:after="0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17 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96" w:lineRule="exact" w:before="256" w:after="2"/>
        <w:ind w:left="568" w:right="124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As faturas deverão ser lançadas em face do efetivo usuário dos serviços, cabendo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ao proprietário do imóvel a responsabilidade pela atualização do cadastro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informação do real usuário, sob pena de ser responsabilizado pelos débitos em função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4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da desatualização do cadastro.”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https://stip-arespcj.1doc.com.br/verificacao/5256-A08B-CBFF-13D0 e informe o código 5256-A08B-CBFF-13D0</w:t>
            </w:r>
          </w:p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4º. Alterar e incluir as alineas ‘a’, ‘b’ e ‘c’ do inciso I e alterar o § 1º do art. 18, da Resolução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nº 200, de 17 de julho de 2017,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18 ........................................................................................................................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 -  Intervir nas redes públicas de água e esgoto, nas ligações prediais de água 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estruturas dos equipamentos de medição (incluindo o medidor), esclarecendo que: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Entende-se por redes públicas, as redes de distribuição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coletoras de esgoto, as que atendem as quadras e todos seus lotes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glebas, independentemente de sua locação, ou seja, ruas, calçadas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faixas não edificantes;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b.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Entende-se por ligações prediais as que são derivadas das redes públicas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até o equipamento de medição ou de inspeção de esgoto (salvo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vielas que corresponde apenas ao trecho dentro da faixa não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edificante);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4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Entende-se por estrutura dos equipamentos de medição os cavaletes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185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caixas de proteção da unidade de medição (CPUM’s).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[...]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1º Os danos decorrentes de intervenção indevida do USUÁRIO nas redes públicas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e esgoto, nas ligações prediais de água e esgoto ou nas estruturas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equipamentos de medição (incluindo o próprio equipamento) e/ou de coleta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esgoto serão reparados pelo SAAE INDAIATUBA, cabendo ao USUÁRIO arcar com 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respectivos custos. Na ausência de CDC, será utilizado o CNPJ da construtora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responsável pelo dano e, não sendo possível, o cadastro imobiliário do lote causador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 dano, sem prejuízo das penalidades previstas neste Regulamento de Serviços. 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conceitos relativos a redes públicas, ligações prediais e demais definições encontram-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 descritos nos subitens “a”, “b” e “c” do Item I deste artigo.”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5º. Transformar o parágrafo único em § 1º e incluir os §§ 2º a 5º ao art. 35, da Resolução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nº 200, de 17 de julho de 2017,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684 – 23/01/2026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9763760</wp:posOffset>
            </wp:positionV>
            <wp:extent cx="7736840" cy="95167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516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2" w:lineRule="exact" w:before="560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35. 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exact" w:before="370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</w:p>
    <w:p>
      <w:pPr>
        <w:autoSpaceDN w:val="0"/>
        <w:autoSpaceDE w:val="0"/>
        <w:widowControl/>
        <w:spacing w:line="292" w:lineRule="exact" w:before="344" w:after="0"/>
        <w:ind w:left="568" w:right="1152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A substituição do ramal predial será de responsabilidade do prestador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serviços, sendo realizada com ônus para o USUÁRIO, quando for por ele solicitado. </w:t>
      </w:r>
    </w:p>
    <w:p>
      <w:pPr>
        <w:autoSpaceDN w:val="0"/>
        <w:autoSpaceDE w:val="0"/>
        <w:widowControl/>
        <w:spacing w:line="294" w:lineRule="exact" w:before="294" w:after="286"/>
        <w:ind w:left="568" w:right="124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Os danos causados pela intervenção do USUÁRIO nas redes públicas e/ou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ramal predial de água e/ou coletor de esgoto, ou ainda no(s) cavalete (s), hidrômetro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(s), serão reparados pelo prestador de serviços, às expensas do USUÁRIO.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4º Todo ramal predial novo de água deverá ser provido de um registro externo ao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https://stip-arespcj.1doc.com.br/verificacao/5256-A08B-CBFF-13D0 e informe o código 5256-A08B-CBFF-13D0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imóvel, de manobra privativa do prestador de 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5º A restauração de muros, passeios e revestimentos decorrente de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solicitados pelo próprio usuário será de sua inteira responsabilidade.”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6º. Incluir o § 3º ao art. 38, da Resolução ARES-PCJ nº 200, de 17 de julho de 2017,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38. .........................................................................................................................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[...]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3º A caixa de hidrômetro, tanto a de Parede quanto a de Passeio, deverá ser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instalada no “PADRÃO SAAE INDAIATUBA”.”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7º. Alterar o título da Seção V, do Capítulo V, da Resolução ARES-PCJ nº 200, de 17 de julho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2017, que passa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8" w:after="0"/>
              <w:ind w:left="0" w:right="435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“Seção V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99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Das Substituições e Reparos das Ligações e/ou Redes de Água e/ou Esgoto”.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8º. Alterar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e o parágrafo único do art. 40, da Resolução ARES-PCJ nº 200, de 17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julho de 2017,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5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40. A pedido do USUÁRIO ou quando constatado por meio de vistoria técnica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SAAE INDAIATUBA, deverão ser realizadas as substituições ou reparos das ligações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e/ou esgoto. As despesas decorrentes correrão por conta do USUÁRIO, nos casos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infrações ou irregularidades no imóvel que inviabilizem a manutenção do padrão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anterior.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Parágrafo Único. A execução da substituição ou do reparo da ligação de água e/ou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esgoto estará condicionada à aprovação, após fiscalização efetuada pelos técnicos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 SAAE INDAIATUBA, do padrão de instalação da caixa de hidrômetro para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ligações de água e/ou do TIL – Tê de Inspeção e Limpeza, para as ligações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684 – 23/01/2026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9763760</wp:posOffset>
            </wp:positionV>
            <wp:extent cx="7736840" cy="95167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516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2" w:lineRule="exact" w:before="266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de acordo com os manuais de instalação fornecidos pelo SAAE INDAIATUBA.”. </w:t>
      </w:r>
    </w:p>
    <w:p>
      <w:pPr>
        <w:autoSpaceDN w:val="0"/>
        <w:autoSpaceDE w:val="0"/>
        <w:widowControl/>
        <w:spacing w:line="292" w:lineRule="exact" w:before="27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9º. Alterar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os § 1º do art. 41, da Resolução ARES-PCJ nº 200, de 17 de julho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2017, que passam a vigorar com a seguinte redação: </w:t>
      </w:r>
    </w:p>
    <w:p>
      <w:pPr>
        <w:autoSpaceDN w:val="0"/>
        <w:autoSpaceDE w:val="0"/>
        <w:widowControl/>
        <w:spacing w:line="286" w:lineRule="exact" w:before="322" w:after="0"/>
        <w:ind w:left="568" w:right="124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41. As substituições ou reparos das ligações ou redes de água e/ou esgoto serão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necessárias quando apresentarem e/ou forem constatadas as seguintes situações: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mudança de local, mau uso da ligação, danos causados à propriedade, infrações 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irregularidades no imóvel. </w:t>
      </w:r>
    </w:p>
    <w:p>
      <w:pPr>
        <w:autoSpaceDN w:val="0"/>
        <w:autoSpaceDE w:val="0"/>
        <w:widowControl/>
        <w:spacing w:line="294" w:lineRule="exact" w:before="294" w:after="2"/>
        <w:ind w:left="568" w:right="1152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 Nas substituições ou reparos das ligações ou redes de água e/ou esgoto indicados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 art. 41 serão cobrados os valores integrais das tarifas de Substituição de Ligação,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4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acordo com a Tabela de Tarifas de Serviços homologados pela ARES-PCJ.”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https://stip-arespcj.1doc.com.br/verificacao/5256-A08B-CBFF-13D0 e informe o código 5256-A08B-CBFF-13D0</w:t>
            </w:r>
          </w:p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10. Incluir a alínea “d.” ao item 4 do art. 59, da Resolução ARES-PCJ nº 200, de 17 de julho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2017,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““Art. 59 .........................................................................................................................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[...]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4) ...................................................................................................................................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[...]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d. Os valores correspondentes às alíneas “a”, “b” e “c” poderão ser parcelados, desde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que cada parcela não seja inferior a 1.000 (mil) UFESPs. O número de parcelas não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poderá exceder 36 (trinta e seis), sendo que os valores parcelados serão corrigidos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anualmente pela UFESP. O pagamento integral deverá ser efetuado até a data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estipulada no decreto de aprovação do empreendimento. Na ausência de prazo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referido decreto, o valor deverá ser quitado integralmente até a data de liberação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loteamento, entendida como a solicitação da primeira ligação de água e esgoto junto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ao SAAE.”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11. Incluir o § 6º ao art. 65, da Resolução ARES-PCJ nº 200, de 17 de julho de 2017,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65 ........................................................................................................................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[...]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6º Os hidrômetros são instrumentos de medição do prestador e quando fornecidos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pelo USUÁRIO deverão ser aprovados pelo SAAE.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12. Alterar o § 1º do art. 73, da Resolução ARES-PCJ nº 200, de 17 de julho de 2017,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684 – 23/01/2026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9763760</wp:posOffset>
            </wp:positionV>
            <wp:extent cx="7736840" cy="95167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516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2" w:lineRule="exact" w:before="266" w:after="0"/>
        <w:ind w:left="64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73 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304" w:lineRule="exact" w:before="260" w:after="0"/>
        <w:ind w:left="642" w:right="124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1° Quando o SAAE INDAIATUBA for efetuar a substituição do hidrômetro, o USUÁRIO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deverá ser informado, por escrito, acerca das leituras dos medidores retirado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instalado, data da substituição e motivo da troca.” </w:t>
      </w:r>
    </w:p>
    <w:p>
      <w:pPr>
        <w:autoSpaceDN w:val="0"/>
        <w:autoSpaceDE w:val="0"/>
        <w:widowControl/>
        <w:spacing w:line="294" w:lineRule="exact" w:before="268" w:after="0"/>
        <w:ind w:left="74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Alterar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78, da Resolução ARES-PCJ nº 200, de 17 de julho de 2017,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passam a vigorar com a seguinte redação: </w:t>
      </w:r>
    </w:p>
    <w:p>
      <w:pPr>
        <w:autoSpaceDN w:val="0"/>
        <w:autoSpaceDE w:val="0"/>
        <w:widowControl/>
        <w:spacing w:line="282" w:lineRule="exact" w:before="326" w:after="26"/>
        <w:ind w:left="642" w:right="124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78. Em caso de intervenção indevida nas tubulações de água e/ou esgoto, nos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hidrômetros, lacres ou cavaletes, que caracterize fraude, o SAAE INDAIATUBA cobrará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as despesas decorrentes da substituição e/ou reparação executada(s) e os consumos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40"/>
        <w:gridCol w:w="2540"/>
        <w:gridCol w:w="2540"/>
        <w:gridCol w:w="2540"/>
      </w:tblGrid>
      <w:tr>
        <w:trPr>
          <w:trHeight w:hRule="exact" w:val="26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pretéritos não apurados, acrescidos de multa pelo ato praticado, de acordo com 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https://stip-arespcj.1doc.com.br/verificacao/5256-A08B-CBFF-13D0 e informe o código 5256-A08B-CBFF-13D0</w:t>
            </w:r>
          </w:p>
        </w:tc>
      </w:tr>
      <w:tr>
        <w:trPr>
          <w:trHeight w:hRule="exact" w:val="312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estabelecido no Capítulo XXII – Das Infrações e Penalidades, deste Regulamento de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28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64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Serviços.”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14. Incluir a seção intitulada “ Seção Amostragem” ao art. 96, da Resolução ARES-PCJ nº 200,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 de julho de 2017, que passam a vigorar com a seguinte redação: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6" w:after="0"/>
              <w:ind w:left="64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96. ........................................................................................................................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0" w:after="0"/>
              <w:ind w:left="64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[...]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6.0" w:type="dxa"/>
            </w:tblPr>
            <w:tblGrid>
              <w:gridCol w:w="4798"/>
              <w:gridCol w:w="4798"/>
            </w:tblGrid>
            <w:tr>
              <w:trPr>
                <w:trHeight w:hRule="exact" w:val="286"/>
              </w:trPr>
              <w:tc>
                <w:tcPr>
                  <w:tcW w:type="dxa" w:w="271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Seção Amostragem </w:t>
                  </w:r>
                </w:p>
              </w:tc>
              <w:tc>
                <w:tcPr>
                  <w:tcW w:type="dxa" w:w="57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Realiza coleta de amostras de água bruta e tratada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15. Alterar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do art. 101, da Resolução ARES-PCJ nº 200, de 17 de julho de 2017, que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passam a vigorar com a seguinte redação: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101. O Gerente da Qualidade assegura a implantação e implementação do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64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Sistema de Gestão da Qualidade e tem canal aberto com a Alta Direção.”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16. Alterar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do art. 107, da Resolução ARES-PCJ nº 200, de 17 de julho de 2017, que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passam a vigorar com a seguinte redação: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107. O volume de amostras a ser coletado é determinado pela Portaria de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consolidação n° 5, de 28 de setembro de 2017, anexo XX - alterada pela Portaria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GM/MS nº 888, de 4 de maio de 2021 do Ministério da Saúde, em função do total de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" w:after="0"/>
              <w:ind w:left="64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habitantes de uma cidade.”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17. Alterar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e a tabela do art. 111, da Resolução ARES-PCJ nº 200, de 17 de julho de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2017, que passam a vigorar com a seguinte redação: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111. Os tipos de serviços que o Laboratório de Águas realiza, estão descritos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64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abaixo: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90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99"/>
              <w:gridCol w:w="3199"/>
              <w:gridCol w:w="3199"/>
            </w:tblGrid>
            <w:tr>
              <w:trPr>
                <w:trHeight w:hRule="exact" w:val="576"/>
              </w:trPr>
              <w:tc>
                <w:tcPr>
                  <w:tcW w:type="dxa" w:w="240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/>
                      <w:color w:val="000000"/>
                      <w:sz w:val="24"/>
                    </w:rPr>
                    <w:t xml:space="preserve">TIPO DE SERVIÇO </w:t>
                  </w:r>
                </w:p>
              </w:tc>
              <w:tc>
                <w:tcPr>
                  <w:tcW w:type="dxa" w:w="34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/>
                      <w:color w:val="000000"/>
                      <w:sz w:val="24"/>
                    </w:rPr>
                    <w:t xml:space="preserve">DESCRIÇÃO </w:t>
                  </w:r>
                </w:p>
              </w:tc>
              <w:tc>
                <w:tcPr>
                  <w:tcW w:type="dxa" w:w="368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008" w:right="100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/>
                      <w:color w:val="000000"/>
                      <w:sz w:val="24"/>
                    </w:rPr>
                    <w:t xml:space="preserve">PARÂMETROS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/>
                      <w:color w:val="000000"/>
                      <w:sz w:val="24"/>
                    </w:rPr>
                    <w:t xml:space="preserve">REALIZADOS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94"/>
        </w:trPr>
        <w:tc>
          <w:tcPr>
            <w:tcW w:type="dxa" w:w="6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8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684 – 23/01/2026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9763760</wp:posOffset>
            </wp:positionV>
            <wp:extent cx="7736840" cy="95167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516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6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40"/>
        <w:gridCol w:w="2540"/>
        <w:gridCol w:w="2540"/>
        <w:gridCol w:w="2540"/>
      </w:tblGrid>
      <w:tr>
        <w:trPr>
          <w:trHeight w:hRule="exact" w:val="1378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99"/>
              <w:gridCol w:w="3199"/>
              <w:gridCol w:w="3199"/>
            </w:tblGrid>
            <w:tr>
              <w:trPr>
                <w:trHeight w:hRule="exact" w:val="2552"/>
              </w:trPr>
              <w:tc>
                <w:tcPr>
                  <w:tcW w:type="dxa" w:w="2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76" w:val="left"/>
                      <w:tab w:pos="1786" w:val="left"/>
                    </w:tabs>
                    <w:autoSpaceDE w:val="0"/>
                    <w:widowControl/>
                    <w:spacing w:line="242" w:lineRule="exact" w:before="76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Análise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de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Água </w:t>
                  </w:r>
                </w:p>
                <w:p>
                  <w:pPr>
                    <w:autoSpaceDN w:val="0"/>
                    <w:tabs>
                      <w:tab w:pos="1384" w:val="left"/>
                      <w:tab w:pos="2222" w:val="left"/>
                    </w:tabs>
                    <w:autoSpaceDE w:val="0"/>
                    <w:widowControl/>
                    <w:spacing w:line="240" w:lineRule="exact" w:before="5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Purificada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Físico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-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Química </w:t>
                  </w:r>
                </w:p>
              </w:tc>
              <w:tc>
                <w:tcPr>
                  <w:tcW w:type="dxa" w:w="3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246" w:val="left"/>
                    </w:tabs>
                    <w:autoSpaceDE w:val="0"/>
                    <w:widowControl/>
                    <w:spacing w:line="290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Verificação de águas produzidas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por destiladores, purificadores,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deionizadores, osmose reversa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>contemplando análises físico-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química completa, com valores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máximos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permitidos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estabelecidos pela Farmacopéia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Brasileira </w:t>
                  </w:r>
                </w:p>
              </w:tc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572" w:val="left"/>
                      <w:tab w:pos="1918" w:val="left"/>
                      <w:tab w:pos="2608" w:val="left"/>
                      <w:tab w:pos="2692" w:val="left"/>
                    </w:tabs>
                    <w:autoSpaceDE w:val="0"/>
                    <w:widowControl/>
                    <w:spacing w:line="292" w:lineRule="exact" w:before="124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Acidez, Alcalinidade (bicarbonato,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carbonato e hidróxido), Alumínio,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Cloretos,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Cloro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Residual,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Condutividade,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Cor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Aparente,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Dureza, Ferro, Flúor, Manganês, pH,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Sólido Total Dissolvido, Sulfato,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Turbidez </w:t>
                  </w:r>
                </w:p>
              </w:tc>
            </w:tr>
            <w:tr>
              <w:trPr>
                <w:trHeight w:hRule="exact" w:val="2556"/>
              </w:trPr>
              <w:tc>
                <w:tcPr>
                  <w:tcW w:type="dxa" w:w="2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0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4.00000000000006" w:type="dxa"/>
                  </w:tblPr>
                  <w:tblGrid>
                    <w:gridCol w:w="803"/>
                    <w:gridCol w:w="803"/>
                    <w:gridCol w:w="803"/>
                  </w:tblGrid>
                  <w:tr>
                    <w:trPr>
                      <w:trHeight w:hRule="exact" w:val="328"/>
                    </w:trPr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60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Análise </w:t>
                        </w:r>
                      </w:p>
                    </w:tc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60" w:after="0"/>
                          <w:ind w:left="162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Água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Purificada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Microbiológica </w:t>
                  </w:r>
                </w:p>
              </w:tc>
              <w:tc>
                <w:tcPr>
                  <w:tcW w:type="dxa" w:w="3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246" w:val="left"/>
                    </w:tabs>
                    <w:autoSpaceDE w:val="0"/>
                    <w:widowControl/>
                    <w:spacing w:line="290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Verificação de águas produzidas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por destiladores, purificadores,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deionizadores, osmose reversa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>contemplando análises físico-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química completa, com valores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máximos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permitidos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estabelecidos pela Farmacopéia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Brasileira </w:t>
                  </w:r>
                </w:p>
              </w:tc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Acidez, Alcalinidade (bicarbonato, </w:t>
                  </w:r>
                </w:p>
                <w:p>
                  <w:pPr>
                    <w:autoSpaceDN w:val="0"/>
                    <w:tabs>
                      <w:tab w:pos="1370" w:val="left"/>
                      <w:tab w:pos="1750" w:val="left"/>
                      <w:tab w:pos="3058" w:val="left"/>
                    </w:tabs>
                    <w:autoSpaceDE w:val="0"/>
                    <w:widowControl/>
                    <w:spacing w:line="240" w:lineRule="exact" w:before="5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carbonato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e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hidróxido),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Cloro </w:t>
                  </w:r>
                </w:p>
                <w:p>
                  <w:pPr>
                    <w:autoSpaceDN w:val="0"/>
                    <w:tabs>
                      <w:tab w:pos="1378" w:val="left"/>
                      <w:tab w:pos="3236" w:val="left"/>
                    </w:tabs>
                    <w:autoSpaceDE w:val="0"/>
                    <w:widowControl/>
                    <w:spacing w:line="242" w:lineRule="exact" w:before="5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Residual,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Condutividade,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Cor </w:t>
                  </w:r>
                </w:p>
                <w:p>
                  <w:pPr>
                    <w:autoSpaceDN w:val="0"/>
                    <w:tabs>
                      <w:tab w:pos="1352" w:val="left"/>
                      <w:tab w:pos="2388" w:val="left"/>
                      <w:tab w:pos="3232" w:val="left"/>
                    </w:tabs>
                    <w:autoSpaceDE w:val="0"/>
                    <w:widowControl/>
                    <w:spacing w:line="240" w:lineRule="exact" w:before="5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Aparente,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Dureza,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Flúor,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pH, </w:t>
                  </w:r>
                </w:p>
                <w:p>
                  <w:pPr>
                    <w:autoSpaceDN w:val="0"/>
                    <w:tabs>
                      <w:tab w:pos="1530" w:val="left"/>
                      <w:tab w:pos="3008" w:val="left"/>
                    </w:tabs>
                    <w:autoSpaceDE w:val="0"/>
                    <w:widowControl/>
                    <w:spacing w:line="240" w:lineRule="exact" w:before="5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Turbidez,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Coliforme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Total, </w:t>
                  </w:r>
                </w:p>
                <w:p>
                  <w:pPr>
                    <w:autoSpaceDN w:val="0"/>
                    <w:tabs>
                      <w:tab w:pos="1532" w:val="left"/>
                      <w:tab w:pos="2208" w:val="left"/>
                      <w:tab w:pos="2664" w:val="left"/>
                    </w:tabs>
                    <w:autoSpaceDE w:val="0"/>
                    <w:widowControl/>
                    <w:spacing w:line="240" w:lineRule="exact" w:before="54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Escherichia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coli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e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Bactérias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heterotróficas. </w:t>
                  </w:r>
                </w:p>
              </w:tc>
            </w:tr>
            <w:tr>
              <w:trPr>
                <w:trHeight w:hRule="exact" w:val="2552"/>
              </w:trPr>
              <w:tc>
                <w:tcPr>
                  <w:tcW w:type="dxa" w:w="2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4.00000000000006" w:type="dxa"/>
                  </w:tblPr>
                  <w:tblGrid>
                    <w:gridCol w:w="803"/>
                    <w:gridCol w:w="803"/>
                    <w:gridCol w:w="803"/>
                  </w:tblGrid>
                  <w:tr>
                    <w:trPr>
                      <w:trHeight w:hRule="exact" w:val="308"/>
                    </w:trPr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0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Análise </w:t>
                        </w:r>
                      </w:p>
                    </w:tc>
                    <w:tc>
                      <w:tcPr>
                        <w:tcW w:type="dxa" w:w="4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0" w:after="0"/>
                          <w:ind w:left="0" w:right="16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Água </w:t>
                        </w:r>
                      </w:p>
                    </w:tc>
                  </w:tr>
                  <w:tr>
                    <w:trPr>
                      <w:trHeight w:hRule="exact" w:val="300"/>
                    </w:trPr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Purificada </w:t>
                        </w:r>
                      </w:p>
                    </w:tc>
                    <w:tc>
                      <w:tcPr>
                        <w:tcW w:type="dxa" w:w="803"/>
                        <w:vMerge/>
                        <w:tcBorders/>
                      </w:tcPr>
                      <w:p/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>Físico-</w:t>
                        </w:r>
                      </w:p>
                    </w:tc>
                  </w:tr>
                  <w:tr>
                    <w:trPr>
                      <w:trHeight w:hRule="exact" w:val="304"/>
                    </w:trPr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8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Química </w:t>
                        </w:r>
                      </w:p>
                    </w:tc>
                    <w:tc>
                      <w:tcPr>
                        <w:tcW w:type="dxa" w:w="803"/>
                        <w:vMerge/>
                        <w:tcBorders/>
                      </w:tcPr>
                      <w:p/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8" w:after="0"/>
                          <w:ind w:left="0" w:right="16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2" w:lineRule="exact" w:before="26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Microbiológica </w:t>
                  </w:r>
                </w:p>
              </w:tc>
              <w:tc>
                <w:tcPr>
                  <w:tcW w:type="dxa" w:w="3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508" w:val="left"/>
                    </w:tabs>
                    <w:autoSpaceDE w:val="0"/>
                    <w:widowControl/>
                    <w:spacing w:line="290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Verificação de águas produzidas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por destiladores, purificadores,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deionizadores, osmose reversa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contemplando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análises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microbiológicas e físico-química,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com valores máximos permitidos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estabelecidos pela Farmacopéia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Brasileira </w:t>
                  </w:r>
                </w:p>
              </w:tc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Acidez, Alcalinidade (bicarbonato,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carbonato e hidróxido), Alumínio,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920"/>
                    <w:gridCol w:w="920"/>
                    <w:gridCol w:w="920"/>
                    <w:gridCol w:w="92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Cloretos, </w:t>
                        </w:r>
                      </w:p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Cloro </w:t>
                        </w:r>
                      </w:p>
                    </w:tc>
                    <w:tc>
                      <w:tcPr>
                        <w:tcW w:type="dxa" w:w="1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Residual, 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122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Cor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8" w:lineRule="exact" w:before="0" w:after="0"/>
                    <w:ind w:left="102" w:right="52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Aparente, Condutividade, Dureza,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Ferro, Flúor, Manganês, OD, pH,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Sólido Total Dissolvido, Sulfato,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Turbidez; Bactérias heterotróficas. 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Coliforme Total e Escherichia coli </w:t>
                  </w:r>
                </w:p>
              </w:tc>
            </w:tr>
            <w:tr>
              <w:trPr>
                <w:trHeight w:hRule="exact" w:val="2848"/>
              </w:trPr>
              <w:tc>
                <w:tcPr>
                  <w:tcW w:type="dxa" w:w="2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76" w:val="left"/>
                      <w:tab w:pos="1786" w:val="left"/>
                    </w:tabs>
                    <w:autoSpaceDE w:val="0"/>
                    <w:widowControl/>
                    <w:spacing w:line="242" w:lineRule="exact" w:before="91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Análise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de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Água </w:t>
                  </w:r>
                </w:p>
                <w:p>
                  <w:pPr>
                    <w:autoSpaceDN w:val="0"/>
                    <w:tabs>
                      <w:tab w:pos="1462" w:val="left"/>
                    </w:tabs>
                    <w:autoSpaceDE w:val="0"/>
                    <w:widowControl/>
                    <w:spacing w:line="240" w:lineRule="exact" w:before="5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Consumo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Humano 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Microbiológico </w:t>
                  </w:r>
                </w:p>
              </w:tc>
              <w:tc>
                <w:tcPr>
                  <w:tcW w:type="dxa" w:w="3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Verificação de água para beber, </w:t>
                  </w:r>
                </w:p>
                <w:p>
                  <w:pPr>
                    <w:autoSpaceDN w:val="0"/>
                    <w:tabs>
                      <w:tab w:pos="1924" w:val="left"/>
                      <w:tab w:pos="2562" w:val="left"/>
                    </w:tabs>
                    <w:autoSpaceDE w:val="0"/>
                    <w:widowControl/>
                    <w:spacing w:line="240" w:lineRule="exact" w:before="54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contemplando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os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ensaios </w:t>
                  </w:r>
                </w:p>
                <w:p>
                  <w:pPr>
                    <w:autoSpaceDN w:val="0"/>
                    <w:tabs>
                      <w:tab w:pos="2146" w:val="left"/>
                      <w:tab w:pos="2716" w:val="left"/>
                    </w:tabs>
                    <w:autoSpaceDE w:val="0"/>
                    <w:widowControl/>
                    <w:spacing w:line="240" w:lineRule="exact" w:before="52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microbiológicos,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e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>físico-</w:t>
                  </w:r>
                </w:p>
                <w:p>
                  <w:pPr>
                    <w:autoSpaceDN w:val="0"/>
                    <w:tabs>
                      <w:tab w:pos="1288" w:val="left"/>
                      <w:tab w:pos="2876" w:val="left"/>
                    </w:tabs>
                    <w:autoSpaceDE w:val="0"/>
                    <w:widowControl/>
                    <w:spacing w:line="242" w:lineRule="exact" w:before="52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químicos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simplificados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com </w:t>
                  </w:r>
                </w:p>
                <w:p>
                  <w:pPr>
                    <w:autoSpaceDN w:val="0"/>
                    <w:tabs>
                      <w:tab w:pos="1086" w:val="left"/>
                      <w:tab w:pos="2248" w:val="left"/>
                    </w:tabs>
                    <w:autoSpaceDE w:val="0"/>
                    <w:widowControl/>
                    <w:spacing w:line="240" w:lineRule="exact" w:before="52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valores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máximos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permitidos 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exact" w:before="54" w:after="2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estabelecidos PRC n° 5, de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851"/>
                    <w:gridCol w:w="851"/>
                    <w:gridCol w:w="851"/>
                    <w:gridCol w:w="851"/>
                  </w:tblGrid>
                  <w:tr>
                    <w:trPr>
                      <w:trHeight w:hRule="exact" w:val="330"/>
                    </w:trPr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28/09/2017, </w:t>
                        </w: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Anexo </w:t>
                        </w:r>
                      </w:p>
                    </w:tc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XX </w:t>
                        </w: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12" w:lineRule="exact" w:before="2" w:after="0"/>
                          <w:ind w:left="0" w:right="1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–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Alterada pela Portaria GM/MS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N° 888 de 04/05/2021. </w:t>
                  </w:r>
                </w:p>
              </w:tc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0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920"/>
                    <w:gridCol w:w="920"/>
                    <w:gridCol w:w="920"/>
                    <w:gridCol w:w="920"/>
                  </w:tblGrid>
                  <w:tr>
                    <w:trPr>
                      <w:trHeight w:hRule="exact" w:val="328"/>
                    </w:trPr>
                    <w:tc>
                      <w:tcPr>
                        <w:tcW w:type="dxa" w:w="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Cloro </w:t>
                        </w:r>
                      </w:p>
                    </w:tc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residual, </w:t>
                        </w:r>
                      </w:p>
                    </w:tc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Cor </w:t>
                        </w:r>
                      </w:p>
                    </w:tc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0" w:after="0"/>
                          <w:ind w:left="11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Aparente,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102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Fluoreto, Dureza, pH, Turbidez,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Coliforme Total, Escherichia coli e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Nitrato. </w:t>
                  </w:r>
                </w:p>
              </w:tc>
            </w:tr>
            <w:tr>
              <w:trPr>
                <w:trHeight w:hRule="exact" w:val="2828"/>
              </w:trPr>
              <w:tc>
                <w:tcPr>
                  <w:tcW w:type="dxa" w:w="2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05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Consumo Humano –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Físico-Químico </w:t>
                  </w:r>
                </w:p>
              </w:tc>
              <w:tc>
                <w:tcPr>
                  <w:tcW w:type="dxa" w:w="3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268" w:after="0"/>
                    <w:ind w:left="104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Verificação de água para beber,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contemplando os ensaios fisico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químicos, com valores máximos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permitidos estabelecidos pela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PRC n° 5, de 28/09/2017, Anexo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XX – Alterada pela Portaria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GM/MS N° 888 de 04/05/2021. </w:t>
                  </w:r>
                </w:p>
              </w:tc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28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Acidez, Alcalinidade (bicarbonato,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carbonato e hidróxido), Alumínio,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920"/>
                    <w:gridCol w:w="920"/>
                    <w:gridCol w:w="920"/>
                    <w:gridCol w:w="92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Cloretos, </w:t>
                        </w:r>
                      </w:p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Cloro </w:t>
                        </w:r>
                      </w:p>
                    </w:tc>
                    <w:tc>
                      <w:tcPr>
                        <w:tcW w:type="dxa" w:w="1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Residual, 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122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Cor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8" w:lineRule="exact" w:before="0" w:after="0"/>
                    <w:ind w:left="102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Aparente, Dureza, Ferro, Flúor,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Manganês, Amônia, Nitrogênio em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forma de Nitrito, Condutividade,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Nitrato, pH, Sólido Total Dissolvido,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Sulfato, Turbidez, correlação de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nitrato e nitrito.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https://stip-arespcj.1doc.com.br/verificacao/5256-A08B-CBFF-13D0 e informe o código 5256-A08B-CBFF-13D0</w:t>
            </w:r>
          </w:p>
        </w:tc>
      </w:tr>
      <w:tr>
        <w:trPr>
          <w:trHeight w:hRule="exact" w:val="714"/>
        </w:trPr>
        <w:tc>
          <w:tcPr>
            <w:tcW w:type="dxa" w:w="6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8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684 – 23/01/2026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9763760</wp:posOffset>
            </wp:positionV>
            <wp:extent cx="7736840" cy="951677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516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6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40"/>
        <w:gridCol w:w="2540"/>
        <w:gridCol w:w="2540"/>
        <w:gridCol w:w="2540"/>
      </w:tblGrid>
      <w:tr>
        <w:trPr>
          <w:trHeight w:hRule="exact" w:val="1058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99"/>
              <w:gridCol w:w="3199"/>
              <w:gridCol w:w="3199"/>
            </w:tblGrid>
            <w:tr>
              <w:trPr>
                <w:trHeight w:hRule="exact" w:val="3140"/>
              </w:trPr>
              <w:tc>
                <w:tcPr>
                  <w:tcW w:type="dxa" w:w="2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82" w:val="left"/>
                    </w:tabs>
                    <w:autoSpaceDE w:val="0"/>
                    <w:widowControl/>
                    <w:spacing w:line="294" w:lineRule="exact" w:before="100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Consumo Humano -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Físico-Química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e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Microbiológica </w:t>
                  </w:r>
                </w:p>
              </w:tc>
              <w:tc>
                <w:tcPr>
                  <w:tcW w:type="dxa" w:w="3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2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Verificação de água para beber,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1135"/>
                    <w:gridCol w:w="1135"/>
                    <w:gridCol w:w="1135"/>
                  </w:tblGrid>
                  <w:tr>
                    <w:trPr>
                      <w:trHeight w:hRule="exact" w:val="282"/>
                    </w:trPr>
                    <w:tc>
                      <w:tcPr>
                        <w:tcW w:type="dxa" w:w="1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6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contemplando </w:t>
                        </w:r>
                      </w:p>
                    </w:tc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os </w:t>
                        </w: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12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ensaios </w:t>
                        </w:r>
                      </w:p>
                    </w:tc>
                  </w:tr>
                  <w:tr>
                    <w:trPr>
                      <w:trHeight w:hRule="exact" w:val="304"/>
                    </w:trPr>
                    <w:tc>
                      <w:tcPr>
                        <w:tcW w:type="dxa" w:w="1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microbiológicos, </w:t>
                        </w:r>
                      </w:p>
                    </w:tc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8" w:after="0"/>
                          <w:ind w:left="0" w:right="124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e </w:t>
                        </w: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8" w:after="0"/>
                          <w:ind w:left="0" w:right="66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>físico-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químicos, com valores máximos 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permitidos estabelecidos pela </w:t>
                  </w:r>
                </w:p>
                <w:p>
                  <w:pPr>
                    <w:autoSpaceDN w:val="0"/>
                    <w:autoSpaceDE w:val="0"/>
                    <w:widowControl/>
                    <w:spacing w:line="294" w:lineRule="exact" w:before="0" w:after="0"/>
                    <w:ind w:left="104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PRC n° 5, de 28/09/2017, Anexo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XX – Alterada pela Portaria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GM/MS N° 888 de 04/05/2021. </w:t>
                  </w:r>
                </w:p>
              </w:tc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Acidez, Alcalinidade (bicarbonato,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carbonato e hidróxido), Alumínio,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920"/>
                    <w:gridCol w:w="920"/>
                    <w:gridCol w:w="920"/>
                    <w:gridCol w:w="920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Cloretos, </w:t>
                        </w:r>
                      </w:p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Cloro </w:t>
                        </w:r>
                      </w:p>
                    </w:tc>
                    <w:tc>
                      <w:tcPr>
                        <w:tcW w:type="dxa" w:w="1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Residual, 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122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Cor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6" w:lineRule="exact" w:before="0" w:after="26"/>
                    <w:ind w:left="102" w:right="52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Aparente, Dureza, Ferro, Flúor,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Manganês, Amônia, Nitrogênio em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forma de Nitrito, e Nitrato, pH,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Sólido Total Dissolvido, Sulfato,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1227"/>
                    <w:gridCol w:w="1227"/>
                    <w:gridCol w:w="1227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1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70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Turbidez, </w:t>
                        </w:r>
                      </w:p>
                    </w:tc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Coliforme </w:t>
                        </w:r>
                      </w:p>
                    </w:tc>
                    <w:tc>
                      <w:tcPr>
                        <w:tcW w:type="dxa" w:w="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8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Total,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Escherichia coli. correlação de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nitrato e nitrito. </w:t>
                  </w:r>
                </w:p>
              </w:tc>
            </w:tr>
            <w:tr>
              <w:trPr>
                <w:trHeight w:hRule="exact" w:val="3724"/>
              </w:trPr>
              <w:tc>
                <w:tcPr>
                  <w:tcW w:type="dxa" w:w="2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80" w:val="left"/>
                    </w:tabs>
                    <w:autoSpaceDE w:val="0"/>
                    <w:widowControl/>
                    <w:spacing w:line="270" w:lineRule="exact" w:before="1344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>Água Natural – Físico-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Química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Microbiológica </w:t>
                  </w:r>
                </w:p>
              </w:tc>
              <w:tc>
                <w:tcPr>
                  <w:tcW w:type="dxa" w:w="3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56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Coleta de água de mananciais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1135"/>
                    <w:gridCol w:w="1135"/>
                    <w:gridCol w:w="1135"/>
                  </w:tblGrid>
                  <w:tr>
                    <w:trPr>
                      <w:trHeight w:hRule="exact" w:val="290"/>
                    </w:trPr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superficiais, </w:t>
                        </w:r>
                      </w:p>
                    </w:tc>
                    <w:tc>
                      <w:tcPr>
                        <w:tcW w:type="dxa" w:w="1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com </w:t>
                        </w:r>
                      </w:p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valores </w:t>
                        </w:r>
                      </w:p>
                    </w:tc>
                  </w:tr>
                  <w:tr>
                    <w:trPr>
                      <w:trHeight w:hRule="exact" w:val="298"/>
                    </w:trPr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2" w:after="0"/>
                          <w:ind w:left="6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máximos </w:t>
                        </w:r>
                      </w:p>
                    </w:tc>
                    <w:tc>
                      <w:tcPr>
                        <w:tcW w:type="dxa" w:w="1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permitidos </w:t>
                        </w:r>
                      </w:p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2" w:after="0"/>
                          <w:ind w:left="0" w:right="12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pelo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Conama 357/2005 (Classe 3- 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Artigo 16) </w:t>
                  </w:r>
                </w:p>
              </w:tc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48" w:val="left"/>
                      <w:tab w:pos="1482" w:val="left"/>
                      <w:tab w:pos="2020" w:val="left"/>
                      <w:tab w:pos="2252" w:val="left"/>
                      <w:tab w:pos="2530" w:val="left"/>
                      <w:tab w:pos="3044" w:val="left"/>
                    </w:tabs>
                    <w:autoSpaceDE w:val="0"/>
                    <w:widowControl/>
                    <w:spacing w:line="290" w:lineRule="exact" w:before="0" w:after="26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Alcalinidade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(bicarbonato,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carbonato e hidróxido), Alumínio,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Cloreto, Cor Verdadeira, DBO, DQO,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Dureza,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Ferro,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Fósforo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total,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Manganês,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Nitrato,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Nitrogênio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Amoniacal, Oxigênio Dissolvido, pH,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Sólido Total Dissolvidos, Sulfatos,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920"/>
                    <w:gridCol w:w="920"/>
                    <w:gridCol w:w="920"/>
                    <w:gridCol w:w="920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Turbidez; </w:t>
                        </w:r>
                      </w:p>
                    </w:tc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Feofitina </w:t>
                        </w:r>
                      </w:p>
                    </w:tc>
                    <w:tc>
                      <w:tcPr>
                        <w:tcW w:type="dxa" w:w="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a </w:t>
                        </w:r>
                      </w:p>
                    </w:tc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11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Espécie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detectada, Clorofila a Coliforme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1227"/>
                    <w:gridCol w:w="1227"/>
                    <w:gridCol w:w="1227"/>
                  </w:tblGrid>
                  <w:tr>
                    <w:trPr>
                      <w:trHeight w:hRule="exact" w:val="290"/>
                    </w:trPr>
                    <w:tc>
                      <w:tcPr>
                        <w:tcW w:type="dxa" w:w="1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termotolerante, </w:t>
                        </w:r>
                      </w:p>
                    </w:tc>
                    <w:tc>
                      <w:tcPr>
                        <w:tcW w:type="dxa" w:w="1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Densidade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1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</w:tr>
                  <w:tr>
                    <w:trPr>
                      <w:trHeight w:hRule="exact" w:val="296"/>
                    </w:trPr>
                    <w:tc>
                      <w:tcPr>
                        <w:tcW w:type="dxa" w:w="1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8" w:after="0"/>
                          <w:ind w:left="70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Cianobactérias, </w:t>
                        </w:r>
                      </w:p>
                    </w:tc>
                    <w:tc>
                      <w:tcPr>
                        <w:tcW w:type="dxa" w:w="1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Nitrogênio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8" w:after="0"/>
                          <w:ind w:left="0" w:right="12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na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forma de Nitrito. </w:t>
                  </w:r>
                </w:p>
              </w:tc>
            </w:tr>
            <w:tr>
              <w:trPr>
                <w:trHeight w:hRule="exact" w:val="2262"/>
              </w:trPr>
              <w:tc>
                <w:tcPr>
                  <w:tcW w:type="dxa" w:w="2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1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Água de Piscina </w:t>
                  </w:r>
                </w:p>
              </w:tc>
              <w:tc>
                <w:tcPr>
                  <w:tcW w:type="dxa" w:w="3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851"/>
                    <w:gridCol w:w="851"/>
                    <w:gridCol w:w="851"/>
                    <w:gridCol w:w="851"/>
                  </w:tblGrid>
                  <w:tr>
                    <w:trPr>
                      <w:trHeight w:hRule="exact" w:val="272"/>
                    </w:trPr>
                    <w:tc>
                      <w:tcPr>
                        <w:tcW w:type="dxa" w:w="1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6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Águas </w:t>
                        </w:r>
                      </w:p>
                    </w:tc>
                    <w:tc>
                      <w:tcPr>
                        <w:tcW w:type="dxa" w:w="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0" w:right="8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4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3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os </w:t>
                        </w:r>
                      </w:p>
                    </w:tc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14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piscinas, </w:t>
                        </w:r>
                      </w:p>
                    </w:tc>
                  </w:tr>
                  <w:tr>
                    <w:trPr>
                      <w:trHeight w:hRule="exact" w:val="306"/>
                    </w:trPr>
                    <w:tc>
                      <w:tcPr>
                        <w:tcW w:type="dxa" w:w="18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38" w:after="0"/>
                          <w:ind w:left="6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contemplando </w:t>
                        </w:r>
                      </w:p>
                    </w:tc>
                    <w:tc>
                      <w:tcPr>
                        <w:tcW w:type="dxa" w:w="851"/>
                        <w:vMerge/>
                        <w:tcBorders/>
                      </w:tcPr>
                      <w:p/>
                    </w:tc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38" w:after="0"/>
                          <w:ind w:left="24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ensaios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microbiológicos e físico-químicos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1135"/>
                    <w:gridCol w:w="1135"/>
                    <w:gridCol w:w="1135"/>
                  </w:tblGrid>
                  <w:tr>
                    <w:trPr>
                      <w:trHeight w:hRule="exact" w:val="282"/>
                    </w:trPr>
                    <w:tc>
                      <w:tcPr>
                        <w:tcW w:type="dxa" w:w="1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6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simplificados </w:t>
                        </w:r>
                      </w:p>
                    </w:tc>
                    <w:tc>
                      <w:tcPr>
                        <w:tcW w:type="dxa" w:w="6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com 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12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valores </w:t>
                        </w:r>
                      </w:p>
                    </w:tc>
                  </w:tr>
                  <w:tr>
                    <w:trPr>
                      <w:trHeight w:hRule="exact" w:val="304"/>
                    </w:trPr>
                    <w:tc>
                      <w:tcPr>
                        <w:tcW w:type="dxa" w:w="1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8" w:after="0"/>
                          <w:ind w:left="6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máximos </w:t>
                        </w:r>
                      </w:p>
                    </w:tc>
                    <w:tc>
                      <w:tcPr>
                        <w:tcW w:type="dxa" w:w="1135"/>
                        <w:vMerge/>
                        <w:tcBorders/>
                      </w:tcPr>
                      <w:p/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permitidos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estabelecidos de acordo com a 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NBR 10818 </w:t>
                  </w:r>
                </w:p>
              </w:tc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1227"/>
                    <w:gridCol w:w="1227"/>
                    <w:gridCol w:w="1227"/>
                  </w:tblGrid>
                  <w:tr>
                    <w:trPr>
                      <w:trHeight w:hRule="exact" w:val="284"/>
                    </w:trPr>
                    <w:tc>
                      <w:tcPr>
                        <w:tcW w:type="dxa" w:w="1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Alcalinidade, </w:t>
                        </w:r>
                      </w:p>
                    </w:tc>
                    <w:tc>
                      <w:tcPr>
                        <w:tcW w:type="dxa" w:w="1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Alumínio, </w:t>
                        </w:r>
                      </w:p>
                    </w:tc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112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4"/>
                          </w:rPr>
                          <w:t xml:space="preserve">Cloreto,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Cloro Residual Livre, Cor Aparente,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Dureza, Ferro, pH, Sólido Total </w:t>
                  </w:r>
                </w:p>
                <w:p>
                  <w:pPr>
                    <w:autoSpaceDN w:val="0"/>
                    <w:tabs>
                      <w:tab w:pos="1434" w:val="left"/>
                      <w:tab w:pos="2626" w:val="left"/>
                    </w:tabs>
                    <w:autoSpaceDE w:val="0"/>
                    <w:widowControl/>
                    <w:spacing w:line="240" w:lineRule="exact" w:before="5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Dissolvido,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Turbidez;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Coliforme </w:t>
                  </w:r>
                </w:p>
                <w:p>
                  <w:pPr>
                    <w:autoSpaceDN w:val="0"/>
                    <w:tabs>
                      <w:tab w:pos="1120" w:val="left"/>
                      <w:tab w:pos="2662" w:val="left"/>
                      <w:tab w:pos="3452" w:val="left"/>
                    </w:tabs>
                    <w:autoSpaceDE w:val="0"/>
                    <w:widowControl/>
                    <w:spacing w:line="240" w:lineRule="exact" w:before="54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Total,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Escherichia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coli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Pseudomonas aeruginosa </w:t>
                  </w:r>
                </w:p>
              </w:tc>
            </w:tr>
            <w:tr>
              <w:trPr>
                <w:trHeight w:hRule="exact" w:val="1070"/>
              </w:trPr>
              <w:tc>
                <w:tcPr>
                  <w:tcW w:type="dxa" w:w="2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462" w:val="left"/>
                    </w:tabs>
                    <w:autoSpaceDE w:val="0"/>
                    <w:widowControl/>
                    <w:spacing w:line="286" w:lineRule="exact" w:before="0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Análise de águas para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Consumo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Humano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Hidrobiológico </w:t>
                  </w:r>
                </w:p>
              </w:tc>
              <w:tc>
                <w:tcPr>
                  <w:tcW w:type="dxa" w:w="3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104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Verificação da água usada para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beber, proveniente de poços,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lagos e minas </w:t>
                  </w:r>
                </w:p>
              </w:tc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4"/>
                    </w:rPr>
                    <w:t xml:space="preserve">Microcistina.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https://stip-arespcj.1doc.com.br/verificacao/5256-A08B-CBFF-13D0 e informe o código 5256-A08B-CBFF-13D0</w:t>
            </w:r>
          </w:p>
        </w:tc>
      </w:tr>
      <w:tr>
        <w:trPr>
          <w:trHeight w:hRule="exact" w:val="58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18. Alterar integralmente os incisos I, II e IV e seus itens/marcadores, do art. 112, da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ARES-PCJ nº 200, de 17 de julho de 2017, que passam a vigorar com a seguinte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redação: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6" w:after="0"/>
              <w:ind w:left="64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112. ......................................................................................................................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46" w:after="0"/>
              <w:ind w:left="64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 – Federais: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00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RESOLUÇÃO CONAMA nº 274, de 29 de novembro de 2000 - Define os critérios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36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balneabilidade em águas brasileiras.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" w:after="0"/>
              <w:ind w:left="100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b.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RESOLUÇÃO CONAMA 357, de 17 de março de 2005 – Conselho Nacional do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6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684 – 23/01/2026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9763760</wp:posOffset>
            </wp:positionV>
            <wp:extent cx="7736840" cy="951677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516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16" w:after="0"/>
        <w:ind w:left="128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Meio Ambiente - Classificação das águas doces, salobras e salinas. </w:t>
      </w:r>
    </w:p>
    <w:p>
      <w:pPr>
        <w:autoSpaceDN w:val="0"/>
        <w:autoSpaceDE w:val="0"/>
        <w:widowControl/>
        <w:spacing w:line="284" w:lineRule="exact" w:before="32" w:after="0"/>
        <w:ind w:left="1288" w:right="1240" w:hanging="36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c.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Portaria de consolidação n° 5, de 28 de setembro de 2017, anexo XX – alterada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portaria GM/MS nº 888, de 4 de maio de 2021 - Ministério da Saúde -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os procedimentos de controle e de vigilância da qualidade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para consumo humano e seu padrão de potabilidade. </w:t>
      </w:r>
    </w:p>
    <w:p>
      <w:pPr>
        <w:autoSpaceDN w:val="0"/>
        <w:autoSpaceDE w:val="0"/>
        <w:widowControl/>
        <w:spacing w:line="292" w:lineRule="exact" w:before="2" w:after="0"/>
        <w:ind w:left="1288" w:right="1244" w:hanging="36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d.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DECRETO nº 5.440, de 4 de maio de 2005 - Estabelece definições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procedimentos sobre o controle de qualidade da água de sistemas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e institui mecanismos para divulgação de informação ao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consumidor. </w:t>
      </w:r>
    </w:p>
    <w:p>
      <w:pPr>
        <w:autoSpaceDN w:val="0"/>
        <w:autoSpaceDE w:val="0"/>
        <w:widowControl/>
        <w:spacing w:line="294" w:lineRule="exact" w:before="0" w:after="26"/>
        <w:ind w:left="1288" w:right="1244" w:hanging="36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e.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LEI nº 10.357, de 27 de dezembro de 2001 - Estabelece normas de controle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fiscalização sobre produtos químicos que direta ou indiretamente possam ser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destinados à elaboração ilícita de substâncias entorpecentes, psicotrópicas ou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que determinem dependência física ou psíquica, e dá outras providências.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https://stip-arespcj.1doc.com.br/verificacao/5256-A08B-CBFF-13D0 e informe o código 5256-A08B-CBFF-13D0</w:t>
            </w:r>
          </w:p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 – Estaduais: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Resolução SS 250, de 15 de agosto de 1995 - Define teores de concentração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 íon fluoreto nas águas para consumo humano, fornecidas por sistemas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de abastecimento.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b.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Resolução SS 65, de 12 de abril de 2005 - Estabelece os procedimentos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responsabilidades relativos ao Controle e Vigilância da Qualidade da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para Consumo Humano no Estado de São Paulo e dá outras providências.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Portaria CVS 1, de 22/07/2020 - Disciplina, no âmbito do Sistema Estadual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Vigilância Sanitária – Sevisa, o licenciamento sanitário dos estabelecimentos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interesse da saúde e das fontes de radiação ionizante, e dá providências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correlatas.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III – Normas Regulamentadoras: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ABNT NBR ISO/IEC 17025: 2017 - Requisitos Gerais para a competência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laboratórios de ensaio e calibração, 2017.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e.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INTERNATIONAL STANDARD – ISO 7870-2 e ISO 7870-3 - Control charts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f.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GUIA PARA A EXPRESSÃO DE INCERTEZA DE MEDIÇÃO (GUM 2008)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Avaliação de dados de medição – 1ª Edição Brasileira da 1ª Edição do BIPM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2008.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g.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ABNT 10818 – Fixa condições para a qualidade de água de piscina.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h.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INTERNATIONAL STANDARD – ISO 8655-2 – Piston pipettes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INTERNATIONAL RECOMMENDATION – OIML R 111-1 – Edition 2004 (E)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Metrological and Techinical Requirements.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j.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Norma L5.015 – CETESB – Segurança em Laboratório Químico de Águas.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k.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NBR 15784 de 04/2017 - Produtos químicos utilizados no tratamento de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para consumo humano — Efeitos à saúde — Requisitos.”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19. Revogar os itens/marcadores e incluir os incisos I e II, do art. 114, da Resolução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200, de 17 de julho de 2017,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114. 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 – Portaria de consolidação n° 5, de 28 de setembro de 2017, anexo XX – alterada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6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684 – 23/01/2026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9763760</wp:posOffset>
            </wp:positionV>
            <wp:extent cx="7736840" cy="951677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516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16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pela portaria GM/MS nº 888, de 4 de maio de 2021. </w:t>
      </w:r>
    </w:p>
    <w:p>
      <w:pPr>
        <w:autoSpaceDN w:val="0"/>
        <w:autoSpaceDE w:val="0"/>
        <w:widowControl/>
        <w:spacing w:line="312" w:lineRule="exact" w:before="296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II - Art. 18 e Art. 50 da Resolução ARES-PCJ nº 50, de 28 de fevereiro de 2014.” </w:t>
      </w:r>
    </w:p>
    <w:p>
      <w:pPr>
        <w:autoSpaceDN w:val="0"/>
        <w:tabs>
          <w:tab w:pos="2268" w:val="left"/>
          <w:tab w:pos="4218" w:val="left"/>
        </w:tabs>
        <w:autoSpaceDE w:val="0"/>
        <w:widowControl/>
        <w:spacing w:line="398" w:lineRule="exact" w:before="16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Alterar o título da Seção VI, do Capítulo XVI, da Resolução ARES-PCJ nº 200, de 17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julho de 2017, que passam a vigorar com a seguinte redação: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“Seção VI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Garantia da Validade dos Resultados de Ensaios”. </w:t>
      </w:r>
    </w:p>
    <w:p>
      <w:pPr>
        <w:autoSpaceDN w:val="0"/>
        <w:autoSpaceDE w:val="0"/>
        <w:widowControl/>
        <w:spacing w:line="294" w:lineRule="exact" w:before="270" w:after="19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Alterar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115, da Resolução ARES-PCJ nº 200, de 17 de julho de 2017,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passam a vigorar com a seguinte redação: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1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115. O Laboratório de Águas adota procedimentos de controle de qualidade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https://stip-arespcj.1doc.com.br/verificacao/5256-A08B-CBFF-13D0 e informe o código 5256-A08B-CBFF-13D0</w:t>
            </w:r>
          </w:p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analítica que asseguram a confiabilidade dos resultados, garantindo a validade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resultados de suas análises.”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22. Alterar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revogar os itens/marcadores e incluir os incisos I ao VI, no art. 116,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ARES-PCJ nº 200, de 17 de julho de 2017, que passam a vigorar com a seguinte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116. Os instrumentos utilizados para monitorar a validade dos resultados,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sempre que aplicáveis, são: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 – Calibração de equipamentos e instrumentos que interferem no processo analítico;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 - Utilização de materiais de referência certificado;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III - Uso de padrões de checagem ou padrões de trabalho com cartas de controle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quando aplicável;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IV - Checagem intermediária nos equipamentos de medição;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 - Correlação de resultado de características diferentes de um item;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VI - Análise crítica de resultados relatados”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23. Alterar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do art. 122, da Resolução ARES-PCJ nº 200, de 17 de julho de 2017,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5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122. O Laboratório de Águas não inclui opiniões e interpretação de resultados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em seu Relatório de Ensaio.”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24. Incluir os incisos IX ao art. 123, da Resolução ARES-PCJ nº 200, de 17 de julho de 2017,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123. .......................................................................................................................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[...]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IX - Residencial Social: ligação usada exclusivamente em moradias inscritas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CADÚnico e que se enquadrem na resolução em vigência da ARES-PCJ.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6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684 – 23/01/2026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9763760</wp:posOffset>
            </wp:positionV>
            <wp:extent cx="7736840" cy="951677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516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55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Incluir o § 3º no art. 126, da Resolução ARES-PCJ nº 200, de 17 de julho de 2017,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</w:p>
    <w:p>
      <w:pPr>
        <w:autoSpaceDN w:val="0"/>
        <w:autoSpaceDE w:val="0"/>
        <w:widowControl/>
        <w:spacing w:line="312" w:lineRule="exact" w:before="296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126 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exact" w:before="322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</w:p>
    <w:p>
      <w:pPr>
        <w:autoSpaceDN w:val="0"/>
        <w:autoSpaceDE w:val="0"/>
        <w:widowControl/>
        <w:spacing w:line="302" w:lineRule="exact" w:before="284" w:after="174"/>
        <w:ind w:left="568" w:right="124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As faturas deverão ser lançadas em face do efetivo usuário dos serviços, cabendo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ao proprietário do imóvel a responsabilidade pela atualização do cadastro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informação do real usuário, sob pena de ser responsabilizado pelos débitos em função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desatualização do cadastro.”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1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26. Incluir os §§ 3º e 4º no art. 127, da Resolução ARES-PCJ nº 200, de 17 de julho de 2017,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https://stip-arespcj.1doc.com.br/verificacao/5256-A08B-CBFF-13D0 e informe o código 5256-A08B-CBFF-13D0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127. .......................................................................................................................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[...]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3º Nos condomínios verticais e horizontais construídos por meio de programas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habitacionais de baixa renda, o SAAE, após análise técnica, poderá efetuar a leitura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 emissão das contas de água e esgoto. A diferença entre o volume medido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macromedidor e a soma dos micromedidores será lançada no CNPJ do condomínio,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associação ou responsável legal.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4º Inexistindo a possibilidade de faturamento na forma disposta no § 3º, a diferença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entre o volume medido no macromedidor e a soma dos micromedidores será rateada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entre os usuários, considerando-se a primeira faixa de consumo.”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27. Alterar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do art. 131, da Resolução ARES-PCJ nº 200, de 17 de julho de 2017,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131. As tarifas serão reajustadas anualmente e propostas pelo SAAE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INDAIATUBA à aprovação da ARES-PCJ, com base em estudos e diretrizes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referenciados no artigo anterior, considerados os seguintes fatores:”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28. Incluir o inciso IX ao art. 132, da Resolução ARES-PCJ nº 200, de 17 de julho de 2017,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132. .......................................................................................................................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[...]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IX - Categoria Residencial Social: tarifa mensal de consumo de água tratada, de coleta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afastamento e de tratamento de esgotos para fins higiênicos, em moradias inscritas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no CADÚnico e que se enquadrem nos demais critérios da Resolução.”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6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684 – 23/01/2026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9763760</wp:posOffset>
            </wp:positionV>
            <wp:extent cx="7736840" cy="951677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516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9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Revogar integralmente o art. 135, da Resolução ARES-PCJ nº 200, de 17 de julho de 2017. </w:t>
      </w:r>
    </w:p>
    <w:p>
      <w:pPr>
        <w:autoSpaceDN w:val="0"/>
        <w:autoSpaceDE w:val="0"/>
        <w:widowControl/>
        <w:spacing w:line="240" w:lineRule="exact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Alterar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alterar o § 2º do art. 141, da Resolução ARES-PCJ nº 200, de 17 de julho </w:t>
      </w:r>
    </w:p>
    <w:p>
      <w:pPr>
        <w:autoSpaceDN w:val="0"/>
        <w:autoSpaceDE w:val="0"/>
        <w:widowControl/>
        <w:spacing w:line="240" w:lineRule="exact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2017, que passam a vigorar com a seguinte redação: </w:t>
      </w:r>
    </w:p>
    <w:p>
      <w:pPr>
        <w:autoSpaceDN w:val="0"/>
        <w:autoSpaceDE w:val="0"/>
        <w:widowControl/>
        <w:spacing w:line="312" w:lineRule="exact" w:before="296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141. A conta não paga até o vencimento e não contestada no prazo de 90 </w:t>
      </w:r>
    </w:p>
    <w:p>
      <w:pPr>
        <w:autoSpaceDN w:val="0"/>
        <w:autoSpaceDE w:val="0"/>
        <w:widowControl/>
        <w:spacing w:line="240" w:lineRule="exact" w:before="30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(noventa) dias da emissão e simultânea entrega da conta de água, se revestirá de </w:t>
      </w:r>
    </w:p>
    <w:p>
      <w:pPr>
        <w:autoSpaceDN w:val="0"/>
        <w:autoSpaceDE w:val="0"/>
        <w:widowControl/>
        <w:spacing w:line="240" w:lineRule="exact" w:before="52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caráter de dívida liquida, certa e exigível, pois a inobservância de prazo e valores são </w:t>
      </w:r>
    </w:p>
    <w:p>
      <w:pPr>
        <w:autoSpaceDN w:val="0"/>
        <w:autoSpaceDE w:val="0"/>
        <w:widowControl/>
        <w:spacing w:line="240" w:lineRule="exact" w:before="56" w:after="286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de responsabilidade do USUÁRIO.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5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[...]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https://stip-arespcj.1doc.com.br/verificacao/5256-A08B-CBFF-13D0 e informe o código 5256-A08B-CBFF-13D0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2º Independentemente do exaurimento do prazo do caput, se o usuário efetuar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adimplemento das faturas sob discussão, inicia-se o prazo de 60 (sessenta) dias,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contados do pagamento das faturas, para contestação dos referidos valores pagos.”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31. Alterar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do art. 142, da Resolução ARES-PCJ nº 200, de 17 de julho de 2017,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142. Os valores pagos indevidamente serão restituídos quando solicitado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USUÁRIO, conforme Instruções Normativas vigentes, salvo pagamentos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duplicidade, que deverão ser devolvidos automaticamente nos faturamentos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seguintes em forma de crédito.”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32. Incluir o inciso XXI ao art. 143, da Resolução ARES-PCJ nº 200, de 17 de julho de 2017,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143. .......................................................................................................................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[...]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4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XXI - QR Code.”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33. Incluir os §§ 1º e 2º ao art. 144, da Resolução ARES-PCJ nº 200, de 17 de julho de 2017,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144. .......................................................................................................................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1º Nos imóveis ligados clandestinamente às redes públicas, as tarifas de água e/ou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esgoto serão devidas desde a data em que o prestador de serviços iniciou a operação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no logradouro onde situado o imóvel, ou, quando não for possível verificar a época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da ligação clandestina, a partir da expedição do alvará de construção, limitada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cobrança ao período máximo de 60 (sessenta) meses.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2º O prestador de serviços poderá adotar as medidas judiciais cabíveis para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6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684 – 23/01/2026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9763760</wp:posOffset>
            </wp:positionV>
            <wp:extent cx="7736840" cy="951677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516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62" w:after="0"/>
        <w:ind w:left="568" w:right="124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liquidação e cobrança do débito decorrente da situação prevista no caput deste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artigo, podendo, ainda, condicionar a efetivação da ligação regular do serviço ao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pagamento integral do valor devido. </w:t>
      </w:r>
    </w:p>
    <w:p>
      <w:pPr>
        <w:autoSpaceDN w:val="0"/>
        <w:autoSpaceDE w:val="0"/>
        <w:widowControl/>
        <w:spacing w:line="294" w:lineRule="exact" w:before="29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Incluir o § 2º ao art. 145, da Resolução ARES-PCJ nº 200, de 17 de julho de 2017,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passam a vigorar com a seguinte redação: </w:t>
      </w:r>
    </w:p>
    <w:p>
      <w:pPr>
        <w:autoSpaceDN w:val="0"/>
        <w:autoSpaceDE w:val="0"/>
        <w:widowControl/>
        <w:spacing w:line="312" w:lineRule="exact" w:before="296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145. 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exact" w:before="322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</w:p>
    <w:p>
      <w:pPr>
        <w:autoSpaceDN w:val="0"/>
        <w:autoSpaceDE w:val="0"/>
        <w:widowControl/>
        <w:spacing w:line="242" w:lineRule="exact" w:before="348" w:after="26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Independentemente de a edificação estar efetivamente interligada à rede pública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esgoto, quando esta estiver disponível para edificações permanentes urbanas, 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https://stip-arespcj.1doc.com.br/verificacao/5256-A08B-CBFF-13D0 e informe o código 5256-A08B-CBFF-13D0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USUÁRIO estará obrigado ao pagamento da tarifa de esgoto, nos termos dos §§ 1º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8º e do caput do art. 13 da Resolução ARES-PCJ nº 50/2014.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35. Alterar o § 2º e incluir o § 3º no art. 148, da Resolução ARES-PCJ nº 200, de 17 de julho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2017,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148. .......................................................................................................................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[...]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2º A falta de recebimento da conta não desobriga o USUÁRIO de seu pagamento,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qual poderá solicitar a segunda via da mesma presencialmente junto ao posto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atendimento do SAAE INDAIATUBA ou ainda pelo site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 </w:t>
            </w:r>
            <w:r>
              <w:rPr>
                <w:u w:val="single" w:color="467885"/>
                <w:rFonts w:ascii="Calibri" w:hAnsi="Calibri" w:eastAsia="Calibri"/>
                <w:b w:val="0"/>
                <w:i/>
                <w:color w:val="467886"/>
                <w:sz w:val="24"/>
              </w:rPr>
              <w:hyperlink r:id="rId11" w:history="1">
                <w:r>
                  <w:rPr>
                    <w:rStyle w:val="Hyperlink"/>
                  </w:rPr>
                  <w:t>www.saae.sp.gov.br</w:t>
                </w:r>
              </w:hyperlink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hyperlink r:id="rId11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3º O prestador de serviços deve emitir e encaminhar ao usuário declaração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quitação anual de débitos na fatura a vencer até o mês de maio do ano seguinte,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no mês subsequente à completa quitação dos débitos do ano anterior ou dos anos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anteriores, podendo ser emitida em espaço da própria fatura, nos termos da Lei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federal nº 12.007/2009, ou ainda, indicar na fatura ou por outro comunicado, que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informação está disponível em um link no sítio eletrônico.”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36. Alterar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e o § 4º do art. 149, da Resolução ARES-PCJ nº 200, de 17 de julho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2017,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149. Por iniciativa do USUÁRIO interessado, mediante pedido formalizado,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contas de água poderão ser revisadas, de acordo com os critérios estabelecidos neste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Regulamento, para os casos de vazamentos sanados e outras situações justificáveis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devidamente comprovadas.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[...]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4º Os casos que não se enquadrarem nas alternativas previstas neste Regulamento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serão analisados e deliberados pela Diretoria de Arrecadação, Cadastro e Leituras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(Excepcionalidades).”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6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684 – 23/01/2026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9763760</wp:posOffset>
            </wp:positionV>
            <wp:extent cx="7736840" cy="951677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516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55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Incluir a alínea </w:t>
      </w:r>
      <w:r>
        <w:rPr>
          <w:rFonts w:ascii="Calibri" w:hAnsi="Calibri" w:eastAsia="Calibri"/>
          <w:b w:val="0"/>
          <w:i/>
          <w:color w:val="000000"/>
          <w:sz w:val="24"/>
        </w:rPr>
        <w:t>c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inciso I do art. 150, da Resolução ARES-PCJ nº 200, de 17 de julho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2017, que passa a vigorar com a seguinte redação </w:t>
      </w:r>
    </w:p>
    <w:p>
      <w:pPr>
        <w:autoSpaceDN w:val="0"/>
        <w:autoSpaceDE w:val="0"/>
        <w:widowControl/>
        <w:spacing w:line="312" w:lineRule="exact" w:before="296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150 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exact" w:before="322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I. Vazamento: </w:t>
      </w:r>
    </w:p>
    <w:p>
      <w:pPr>
        <w:autoSpaceDN w:val="0"/>
        <w:autoSpaceDE w:val="0"/>
        <w:widowControl/>
        <w:spacing w:line="240" w:lineRule="exact" w:before="346" w:after="0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</w:p>
    <w:p>
      <w:pPr>
        <w:autoSpaceDN w:val="0"/>
        <w:autoSpaceDE w:val="0"/>
        <w:widowControl/>
        <w:spacing w:line="294" w:lineRule="exact" w:before="294" w:after="2"/>
        <w:ind w:left="568" w:right="1152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c. Refaturamento pela média: Serão recalculados os valores de tarifas de água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esgoto, a critério do SAAE Indaiatuba, em casos de excepcionalidades, analisadas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60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deliberadas pela Diretoria de Arrecadação, Cadastro e Leituras.”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https://stip-arespcj.1doc.com.br/verificacao/5256-A08B-CBFF-13D0 e informe o código 5256-A08B-CBFF-13D0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38. Alterar integralmente o parágrafo único, inc. II do art. 151, da Resolução ARES-PCJ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200, de 17 de julho de 2017,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151.........................................................................................................................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[...]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“Parágrafo único. O não atendimento da notificação do SAAE INDAIATUBA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USUÁRIO no prazo estabelecido para quitação do débito ensejará a interrupção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de água, respeitando-se, no mínimo, 30 (trinta) dias corridos,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contados a partir do recebimento da primeira notificação. Os serviços motivados por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ações do USUÁRIO serão dele cobrados, bem como os débitos eventualmente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pendentes com o SAAE INDAIATUBA, sem prejuízo das sanções cabíveis.”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39. Alterar o  parágrafo único do art. 156, da Resolução ARES-PCJ nº 200, de 17 de julho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2017,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5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156. .......................................................................................................................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Parágrafo Único. Cessado o motivo da interrupção e/ou pagos os débitos, o prestador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serviços restabelecerá o abastecimento de água e/ou o esgotamento sanitário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prazo de até 12 (doze) horas por cortes indevidos, até 24 (vinte e quatro) horas por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cortes com aviso prévio, e 72 (setenta e duas) horas por retirada do ramal.”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40. Alterar o título do Capítulo XXI, da Resolução ARES-PCJ nº 200, de 17 de julho de 2017,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6" w:after="0"/>
              <w:ind w:left="0" w:right="406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“CAPÍTULO XXI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7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DA VISTORIA E DO DIMENSIONAMENTO DE HIDRÔMETROS PARA FINS DE HABITE-SE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6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684 – 23/01/2026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9763760</wp:posOffset>
            </wp:positionV>
            <wp:extent cx="7736840" cy="951677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516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2" w:lineRule="exact" w:before="266" w:after="0"/>
        <w:ind w:left="1676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EM EDIFICAÇÕES RESIDENCIAIS, COMERCIAIS E INDUSTRIAIS”. </w:t>
      </w:r>
    </w:p>
    <w:p>
      <w:pPr>
        <w:autoSpaceDN w:val="0"/>
        <w:tabs>
          <w:tab w:pos="568" w:val="left"/>
        </w:tabs>
        <w:autoSpaceDE w:val="0"/>
        <w:widowControl/>
        <w:spacing w:line="410" w:lineRule="exact" w:before="154" w:after="24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Alterar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revogar os §§ 1º ao 4º do art. 157, da Resolução ARES-PCJ nº 200,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 de julho de 2017, que passam a vigorar com a seguinte redação: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157. O usuário ou proprietário deverá procurar o responsável técnico pela obra,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 a Prefeitura Municipal de Indaiatuba para efetuar o protocolo dos pedidos.”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Alterar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158, da Resolução ARES-PCJ nº 200, de 17 de julho de 2017,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passam a vigorar com a seguinte redação: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5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158. O SAAE terá o prazo de 03 (três) dias úteis em área urbana e 05 (cinco) dias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https://stip-arespcj.1doc.com.br/verificacao/5256-A08B-CBFF-13D0 e informe o código 5256-A08B-CBFF-13D0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úteis em área rural, a serem contados a partir do recebimento do processo “on line”,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para executar a vistoria do imóvel.”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43. Alterar as alíneas ‘a’, ‘b’ e ‘f’ do art. 159, da Resolução ARES-PCJ nº 200, de 17 de julho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2017,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159. .......................................................................................................................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Abrigo ou Caixa de Proteção do hidrômetro a fim de preservar a vida útil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mesmo.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b.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 abertura do muro deve ser de tamanho retangular acessível às leituras,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com visor circular mínimo de 15 cm, ou ainda no caso do uso de caixa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proteção, o seu visor também deve estar acessível às leituras ou substituições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destes equipamentos de medição sem adentrar ao imóvel.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[...]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9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f.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Todas as residências, edifícios ou edificações comerciais que possuam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cozinhas deverão ser atendidos por caixas retentoras de gordura, com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medidas variáveis de acordo com o número máximo de pessoas que serão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atendidas, ou caixas prontas adquiridas em comércio, desde que atendam aos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volumes necessários. Edificações comerciais que possuem pequenas copas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estão isentas destas exigências, salvo nas que forem constatadas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fiscalização a existência de cozinhas. As edificações que modificarem suas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atividades comerciais passando a utilizar-se de cozinhas se enquadrarão nas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4" w:after="0"/>
              <w:ind w:left="128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primeiras exigências.”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44. Revogar integralmente o art. 160, da Resolução ARES-PCJ nº 200, de 17 de julho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2017.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45. Revogar integralmente o art. 161, da Resolução ARES-PCJ nº 200, de 17 de julho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2017.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46. Revogar integralmente o art. 162, da Resolução ARES-PCJ nº 200, de 17 de julho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2017.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47. Revogar integralmente o art. 163, da Resolução ARES-PCJ nº 200, de 17 de julho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6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684 – 23/01/2026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9763760</wp:posOffset>
            </wp:positionV>
            <wp:extent cx="7736840" cy="951677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516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2017.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Alterar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164, da Resolução ARES-PCJ nº 200, de 17 de julho de 2017,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passam a vigorar com a seguinte redação: </w:t>
      </w:r>
    </w:p>
    <w:p>
      <w:pPr>
        <w:autoSpaceDN w:val="0"/>
        <w:autoSpaceDE w:val="0"/>
        <w:widowControl/>
        <w:spacing w:line="294" w:lineRule="exact" w:before="314" w:after="0"/>
        <w:ind w:left="432" w:right="1152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164. Quaisquer irregularidades de obras constatadas durante as vistorias, 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proprietários devem procurar o responsável técnico pela obra para melhor solução.” </w:t>
      </w:r>
    </w:p>
    <w:p>
      <w:pPr>
        <w:autoSpaceDN w:val="0"/>
        <w:autoSpaceDE w:val="0"/>
        <w:widowControl/>
        <w:spacing w:line="292" w:lineRule="exact" w:before="270" w:after="0"/>
        <w:ind w:left="0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49. Alterar os incisos XVI, XVII e XXII e revogar o inciso XXIII do art. 165, da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200, de 17 de julho de 2017, que passam a vigorar com a seguinte redação: </w:t>
      </w:r>
    </w:p>
    <w:p>
      <w:pPr>
        <w:autoSpaceDN w:val="0"/>
        <w:autoSpaceDE w:val="0"/>
        <w:widowControl/>
        <w:spacing w:line="312" w:lineRule="exact" w:before="300" w:after="174"/>
        <w:ind w:left="5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165. .......................................................................................................................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5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[...]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https://stip-arespcj.1doc.com.br/verificacao/5256-A08B-CBFF-13D0 e informe o código 5256-A08B-CBFF-13D0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XVI - Deixar de prestar ao SAAE INDAIATUBA, informações referentes à alteração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cadastral bem como, alteração nas características construtivas do imóvel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importem modificações junto ao cadastro comercial do SAAE INDAIATUBA; deixar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atender a Notificação de Recadastramento;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XVII - Águas de piscinas podem ser descartadas por meio da instalação predial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águas pluviais ou de esgoto, sempre respeitando a capacidade hidráulica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escoamento dos coletores prediais. Os ralos dos chuveiros existentes nas áreas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lazer que estão descobertos devem ser interligados no coletor predial das águas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pluviais, poços ou valas de infiltração, evitando a condução de águas de chuvas leves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 torrenciais para o coletor predial de esgoto;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[...]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XXII - Danificar rede coletora de esgoto ou rede de distribuidora de água por execução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cortes e aterros ou construções sobre estas redes que estejam implantadas dentro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da “viela sanitária”. Entende-se por “viela sanitária” uma “faixa não edificante” (que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 assemelha às áreas de Preservação Permanente (APP) ou áreas Verdes (AV), etc.,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porém, sem a necessidade de licenciamentos), e cabe à Prefeitura Municipal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Indaiatuba se responsabilizar e tomar providências por conta destas construções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áreas irregulares.”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50. Alterar o inciso I do art. 171, da Resolução ARES-PCJ nº 200, de 17 de julho de 2017,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171. .......................................................................................................................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 - Advertência por escrito, com prazo de 07 (sete), 15 (quinze), ou 30 (trinta) dias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corridos para correção das irregularidades apontadas conforme o tipo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caracterização. A caracterização pode ser intitulada em três tipos, ou seja, grave,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média ou leve. Cabe à fiscalização caracterizar a irregularidade;”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6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684 – 23/01/2026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9763760</wp:posOffset>
            </wp:positionV>
            <wp:extent cx="7736840" cy="951677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516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70" w:val="left"/>
          <w:tab w:pos="3934" w:val="left"/>
        </w:tabs>
        <w:autoSpaceDE w:val="0"/>
        <w:widowControl/>
        <w:spacing w:line="390" w:lineRule="exact" w:before="166" w:after="256"/>
        <w:ind w:left="0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Incluir o Anexo II na Resolução ARES-PCJ nº 200, de 17 de julho de 2017, que passa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vigorar com a seguinte redação: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“Anexo 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Prazos para Execução dos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828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7.99999999999983" w:type="dxa"/>
            </w:tblPr>
            <w:tblGrid>
              <w:gridCol w:w="4761"/>
              <w:gridCol w:w="4761"/>
            </w:tblGrid>
            <w:tr>
              <w:trPr>
                <w:trHeight w:hRule="exact" w:val="406"/>
              </w:trPr>
              <w:tc>
                <w:tcPr>
                  <w:tcW w:type="dxa" w:w="73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Prazo máximo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73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de hidrômetro em bancada fixa ou portátil, a pedido do usuário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 dias úteis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73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Cancelamento ou desligamento da ligação a pedido do usuário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 dias úteis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73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e religação de água, a pedido do usuário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 dias úteis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73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Desobstrução de ramal predial de esgoto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 horas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73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Desobstrução de rede coletora de esgoto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 horas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73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e/ou esgoto após vistoria em área rural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 dias úteis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73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e/ou esgoto após vistoria em área urbana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 dias úteis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73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ligação de água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 dias úteis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73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ligação de esgoto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 dias úteis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73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após corte por inadimplência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 horas </w:t>
                  </w:r>
                </w:p>
              </w:tc>
            </w:tr>
            <w:tr>
              <w:trPr>
                <w:trHeight w:hRule="exact" w:val="402"/>
              </w:trPr>
              <w:tc>
                <w:tcPr>
                  <w:tcW w:type="dxa" w:w="73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Reparo de muros e instalações do usuário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 dias úteis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73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Reparo de vazamento de água na rua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 dias úteis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73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Reparo de vazamento de água no passeio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 dias úteis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73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Reposição de pavimento asfáltico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 dias úteis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73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Reposição de pavimento em passeios públicos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 dias úteis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73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de registro de cavalete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 dias úteis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73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ou instalação de hidrômetro violado, danificado ou furtado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 dias úteis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73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de ligação de água e/ou esgoto em área rural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 dias úteis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73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de ligação de água e/ou esgoto em área urbana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 dias úteis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https://stip-arespcj.1doc.com.br/verificacao/5256-A08B-CBFF-13D0 e informe o código 5256-A08B-CBFF-13D0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52. Esta Resolução entrará em vigor na data de sua publicação, revogando-se as disposições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contrário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2" w:after="0"/>
              <w:ind w:left="0" w:right="3486" w:firstLine="0"/>
              <w:jc w:val="right"/>
            </w:pPr>
            <w:r>
              <w:rPr>
                <w:rFonts w:ascii="Aptos" w:hAnsi="Aptos" w:eastAsia="Aptos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413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Diretor Geral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334"/>
        </w:trPr>
        <w:tc>
          <w:tcPr>
            <w:tcW w:type="dxa" w:w="6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684 – 23/01/2026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50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5256-A08B-CBFF-13D0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26/01/2026 16:27:45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10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5" w:history="1">
          <w:r>
            <w:rPr>
              <w:rStyle w:val="Hyperlink"/>
            </w:rPr>
            <w:t>https://stip-arespcj.1doc.com.br/verificacao/5256-A08B-CBFF-13D0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www.saae.sp.gov.br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stip-arespcj.1doc.com.br/verificacao/5256-A08B-CBFF-13D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