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-53340</wp:posOffset>
            </wp:positionH>
            <wp:positionV relativeFrom="page">
              <wp:posOffset>9763760</wp:posOffset>
            </wp:positionV>
            <wp:extent cx="7735570" cy="951521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95152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180340</wp:posOffset>
            </wp:positionV>
            <wp:extent cx="251968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20" w:after="0"/>
        <w:ind w:left="134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685, DE 23 DE JANEIRO DE 2026 </w:t>
      </w:r>
    </w:p>
    <w:p>
      <w:pPr>
        <w:autoSpaceDN w:val="0"/>
        <w:autoSpaceDE w:val="0"/>
        <w:widowControl/>
        <w:spacing w:line="245" w:lineRule="auto" w:before="598" w:after="0"/>
        <w:ind w:left="4254" w:right="67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alteração da Resolução ARES-PCJ nº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505, de 21 de julho de 2023, que trata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Regulamento de Prestação dos Serviços Públicos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Abastecimento de Água e de Esgotamento Sanitário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Atendimento aos Usuários do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Pedreira, e dá outras providências. </w:t>
      </w:r>
    </w:p>
    <w:p>
      <w:pPr>
        <w:autoSpaceDN w:val="0"/>
        <w:autoSpaceDE w:val="0"/>
        <w:widowControl/>
        <w:spacing w:line="197" w:lineRule="auto" w:before="640" w:after="26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9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BACIAS DOS RIOS PIRACICABA, CAPIVARI E JUNDIAÍ (AGÊNCIA REGULADORA ARES-PCJ)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, no uso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https://stip-arespcj.1doc.com.br/verificacao/806F-A92B-A69A-C512 e informe o código 806F-A92B-A69A-C512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suas atribuições e na forma da Cláusula 32ª, inciso III, do Protocolo de Intenções da ARES-PCJ,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convertido em Contrato de Consórcio Público, e o Artigo 28, inciso III, do Estatuto da ARES-PCJ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CONSIDERANDO: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através das premissas constantes na Lei federal nº 11.445, de 05/01/2007, do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21/06/2010, e da Lei municipal nº 3.077, de 10/12/2010, o Município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Pedreira ratificou o Protocolo de Intenções da ARES-PCJ, delegando as competências municipais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regulação e fiscalização dos serviços de abastecimento de água e esgotamento sanitário;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art. 23 da Lei federal nº 11.445/2007 define os aspectos normativos em que as agências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reguladoras editarão normas relativas às dimensões técnica, econômica e social de prestação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de saneamento básico;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os preceitos norteadores da Resolução ARES-PCJ nº 50/2014, em especial os artigos 45 e 46,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delimitam a forma e a obrigação do prestador de serviços de saneamento básico em editar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Regulamento de Serviços, visando a divulgação do padrão normativo aos usuários;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Serviço Autônomo de Água e Esgoto de Pedreira - SAAE, órgão responsável pelos serviços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abastecimento de água e esgotamento sanitário no município, em conformidade com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Resolução ARES-PCJ nº 50/2014 e suas alterações, requereu análise das modificações propostas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seu Regulamento de Serviços (Anexo A da Resolução ARES-PCJ nº 505/2023), que disciplina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forma de prestação dos serviços e atendimento;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as alterações solicitadas pelo SAAE – Pedreira, em seu Regulamento, tratam da revisão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contas e de readequação do prazo para inclusão das unidades usuárias na categoria Residencial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Social;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de todas as diretrizes, a Diretoria Colegiada da ARES-PCJ, reunida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23 de janeiro de 2026,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1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685 – 23/01/2026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-53340</wp:posOffset>
            </wp:positionH>
            <wp:positionV relativeFrom="page">
              <wp:posOffset>9763760</wp:posOffset>
            </wp:positionV>
            <wp:extent cx="7735570" cy="951521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95152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180340</wp:posOffset>
            </wp:positionV>
            <wp:extent cx="251968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1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</w:p>
    <w:p>
      <w:pPr>
        <w:autoSpaceDN w:val="0"/>
        <w:autoSpaceDE w:val="0"/>
        <w:widowControl/>
        <w:spacing w:line="245" w:lineRule="auto" w:before="638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Alterar o § 1º do art. 70 do ANEXO A da Resolução ARES-PCJ nº 505, de 21 de julho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2023, que passa a vigorar com a seguinte redação: </w:t>
      </w:r>
    </w:p>
    <w:p>
      <w:pPr>
        <w:autoSpaceDN w:val="0"/>
        <w:autoSpaceDE w:val="0"/>
        <w:widowControl/>
        <w:spacing w:line="262" w:lineRule="auto" w:before="298" w:after="0"/>
        <w:ind w:left="113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70 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197" w:lineRule="auto" w:before="314" w:after="0"/>
        <w:ind w:left="113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[...] </w:t>
      </w:r>
    </w:p>
    <w:p>
      <w:pPr>
        <w:autoSpaceDN w:val="0"/>
        <w:autoSpaceDE w:val="0"/>
        <w:widowControl/>
        <w:spacing w:line="245" w:lineRule="auto" w:before="348" w:after="2"/>
        <w:ind w:left="1134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 SAAE efetivará a inclusão da unidade usuária na categoria Residencial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até 10 (dez) dias após a data de solicitação de cadastro, comprovados os critérios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6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mínimos.”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https://stip-arespcj.1doc.com.br/verificacao/806F-A92B-A69A-C512 e informe o código 806F-A92B-A69A-C512</w:t>
            </w:r>
          </w:p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2º - Alterar o art. 84 do ANEXO A da Resolução ARES-PCJ nº 505, de 21 de julho de 2023, que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passa a vigorar com 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8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“Art. 84 – O SAAE concederá a todas as categorias de usuários o benefício da revisão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5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excepcional de contas em caso de vazamento oculto.”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3º - Esta Resolução entrará em vigor na data da sua publicação, revogando-se as disposições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contrário.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2" w:after="0"/>
              <w:ind w:left="0" w:right="360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DALTO FAVERO BROCHI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5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4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Diretor Geral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59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2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685 – 23/01/2026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0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64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806F-A92B-A69A-C512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26/01/2026 16:28:09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422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https://stip-arespcj.1doc.com.br/verificacao/806F-A92B-A69A-C512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806F-A92B-A69A-C5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