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-184150</wp:posOffset>
            </wp:positionH>
            <wp:positionV relativeFrom="page">
              <wp:posOffset>9625330</wp:posOffset>
            </wp:positionV>
            <wp:extent cx="7736840" cy="1079134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107913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2622550</wp:posOffset>
            </wp:positionH>
            <wp:positionV relativeFrom="page">
              <wp:posOffset>311150</wp:posOffset>
            </wp:positionV>
            <wp:extent cx="2495550" cy="55118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5511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0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688, DE 18 DE FEVEREIRO DE 2026 </w:t>
      </w:r>
    </w:p>
    <w:p>
      <w:pPr>
        <w:autoSpaceDN w:val="0"/>
        <w:autoSpaceDE w:val="0"/>
        <w:widowControl/>
        <w:spacing w:line="197" w:lineRule="auto" w:before="346" w:after="26"/>
        <w:ind w:left="0" w:right="134" w:firstLine="0"/>
        <w:jc w:val="righ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Institui a Agenda Regulatória - Biênio 2026-2027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82.0" w:type="dxa"/>
      </w:tblPr>
      <w:tblGrid>
        <w:gridCol w:w="1572"/>
        <w:gridCol w:w="1572"/>
        <w:gridCol w:w="1572"/>
        <w:gridCol w:w="1572"/>
        <w:gridCol w:w="1572"/>
        <w:gridCol w:w="1572"/>
      </w:tblGrid>
      <w:tr>
        <w:trPr>
          <w:trHeight w:hRule="exact" w:val="294"/>
        </w:trPr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da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Agência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Reguladora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dos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Serviços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0"/>
        <w:ind w:left="4374" w:right="13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Saneamento das Bacias dos Rios Piracicaba,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Capivari e Jundiaí (Agência Reguladora ARES-PCJ),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dá outras providências.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>BACIAS DOS RIOS PIRACICABA, CAPIVARI E JUNDIAÍ (AGÊNCIA REGULADORA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>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atribuições que lhe conferem a Cláusula 32ª, inc. XIV do Protocolo de Intenções da ARES-PCJ,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convertido em Contrato de Consórcio Público, e o art. 29, inc. XV do Estatuto da ARES-PCJ e;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ARES-PCJ é consórcio público, com personalidade jurídica de direito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público, na forma de associação pública e com natureza autárquica, integrante da administração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indireta de todos os municípios consorciados, e criada para atender as exigências da Lei federal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11.445/2007 (Diretrizes Nacionais para o Saneamento Básico) e suas alterações;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art. 26 da Lei federal nº 11.445/2007 preconiza que deverá ser assegurada publicidade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relatórios, estudos, decisões e instrumentos equivalentes que se refiram à regulação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dos serviços de saneamento básico;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art. 19, inc. IV, da Norma de Referência nº 04/2024, da Agência Nacional de Águas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(ANA), prevê que, para promoção da transparência da atuação regulatória,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Entidades Reguladoras Infranacionais (ERIs) devem dar publicidade, dentre outros,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instrumentos regulatórios e de planejamento, incluindo a Agenda Regulatória;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Agenda Regulatória é importante instrumento central de planejamento normativo das ERIs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e, também, de promoção da qualidade regulatória à medida em que proporciona transparência,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previsibilidade e coerência ao processo de elaboração de normas e regulamentos por parte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entidades reguladoras;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foram realizadas Tomada de Subsídios, entre os dias 07 e 21/10/2025; Consulta Pública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 os dias 09 e 27/01/2026; e Audiência Pública no dia 20/01/2026, visando colher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contribuições, dirimir dúvidas e apresentação de sugestões em relação, além de estimular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participação social no processo de construção da Agenda Regulatória da ARES-PCJ – 2026-2027;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da instrução do Processo Administrativo nº 411/2025 e do cumprimento de todas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etapas do processo de transparência e controle social, a Diretoria Colegiada da ARES-PCJ,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Reunião Ordinária nº 03/2026, ocorrida no dia 30 de janeiro de 2026, deliberou e aprovou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Agenda Regulatória – Biênio 2026-2027, e </w:t>
      </w:r>
    </w:p>
    <w:p>
      <w:pPr>
        <w:autoSpaceDN w:val="0"/>
        <w:tabs>
          <w:tab w:pos="8650" w:val="left"/>
        </w:tabs>
        <w:autoSpaceDE w:val="0"/>
        <w:widowControl/>
        <w:spacing w:line="197" w:lineRule="auto" w:before="68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688 – 18/02/2026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1</w:t>
      </w:r>
    </w:p>
    <w:p>
      <w:pPr>
        <w:sectPr>
          <w:pgSz w:w="11906" w:h="16838"/>
          <w:pgMar w:top="244" w:right="1058" w:bottom="51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-184150</wp:posOffset>
            </wp:positionH>
            <wp:positionV relativeFrom="page">
              <wp:posOffset>9625330</wp:posOffset>
            </wp:positionV>
            <wp:extent cx="7736840" cy="1079134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107913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2622550</wp:posOffset>
            </wp:positionH>
            <wp:positionV relativeFrom="page">
              <wp:posOffset>311150</wp:posOffset>
            </wp:positionV>
            <wp:extent cx="2495550" cy="55118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5511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9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Aprovar e instituir, na forma apresentada no Anexo desta Resolução, a Agenda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Regulatória - Biênio 2026-2027 da Agência Reguladora dos Serviços de Saneamento das Bacias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Rios Piracicaba, Capivari e Jundiaí (Agência Reguladora ARES-PCJ).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2º - Os prazos e cronogramas dispostos na Agenda Regulatória - Biênio 2026-2027 da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 configuram previsão, estando sujeitos à alteração em virtude das necessidades específicas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cada projeto proposto, ou para preservação do ritmo adequado de elaboração e participação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social em relação ao conjunto de projetos.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A Agenda Regulatória - Biênio 2026-2027 da ARES-PCJ poderá passar por procedimento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revisão ao longo do primeiro bimestre de 2027, quando serão avaliados o andamento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projetos propostos e a necessidade de aprimoramentos.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Excepcionalmente, a Agenda Regulatória - Biênio 2026-2027 da ARES-PCJ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poderá ser modificada fora do período de revisão, previsto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para inclusão e exclusão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projetos ou adequação de escopo, mediante apresentação de motivos junto a cada nova versão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publicada.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Esta Resolução entrará em vigor na data de sua publicação. </w:t>
      </w:r>
    </w:p>
    <w:p>
      <w:pPr>
        <w:autoSpaceDN w:val="0"/>
        <w:autoSpaceDE w:val="0"/>
        <w:widowControl/>
        <w:spacing w:line="245" w:lineRule="auto" w:before="938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6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8650" w:val="left"/>
        </w:tabs>
        <w:autoSpaceDE w:val="0"/>
        <w:widowControl/>
        <w:spacing w:line="197" w:lineRule="auto" w:before="598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688 – 18/02/2026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2</w:t>
      </w:r>
    </w:p>
    <w:p>
      <w:pPr>
        <w:sectPr>
          <w:pgSz w:w="11906" w:h="16838"/>
          <w:pgMar w:top="244" w:right="1058" w:bottom="51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-184150</wp:posOffset>
            </wp:positionH>
            <wp:positionV relativeFrom="page">
              <wp:posOffset>9625330</wp:posOffset>
            </wp:positionV>
            <wp:extent cx="7736840" cy="1079134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107913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5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2622550</wp:posOffset>
            </wp:positionH>
            <wp:positionV relativeFrom="page">
              <wp:posOffset>311150</wp:posOffset>
            </wp:positionV>
            <wp:extent cx="2495550" cy="55118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5511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8" w:lineRule="auto" w:before="344" w:after="0"/>
        <w:ind w:left="0" w:right="3380" w:firstLine="0"/>
        <w:jc w:val="right"/>
      </w:pPr>
      <w:r>
        <w:rPr>
          <w:rFonts w:ascii="Aptos" w:hAnsi="Aptos" w:eastAsia="Aptos"/>
          <w:b/>
          <w:i w:val="0"/>
          <w:color w:val="000000"/>
          <w:sz w:val="60"/>
        </w:rPr>
        <w:t xml:space="preserve">ANEXO </w:t>
      </w:r>
    </w:p>
    <w:p>
      <w:pPr>
        <w:autoSpaceDN w:val="0"/>
        <w:autoSpaceDE w:val="0"/>
        <w:widowControl/>
        <w:spacing w:line="269" w:lineRule="auto" w:before="2436" w:after="0"/>
        <w:ind w:left="288" w:right="0" w:firstLine="0"/>
        <w:jc w:val="center"/>
      </w:pPr>
      <w:r>
        <w:rPr>
          <w:rFonts w:ascii="Aptos" w:hAnsi="Aptos" w:eastAsia="Aptos"/>
          <w:b/>
          <w:i w:val="0"/>
          <w:color w:val="5B9BD5"/>
          <w:sz w:val="56"/>
        </w:rPr>
        <w:t>AGENDA</w:t>
      </w:r>
      <w:r>
        <w:rPr>
          <w:rFonts w:ascii="Aptos" w:hAnsi="Aptos" w:eastAsia="Aptos"/>
          <w:b/>
          <w:i w:val="0"/>
          <w:color w:val="5B9BD5"/>
          <w:sz w:val="56"/>
        </w:rPr>
        <w:t>REGULATÓRIA</w:t>
      </w:r>
      <w:r>
        <w:rPr>
          <w:rFonts w:ascii="Aptos" w:hAnsi="Aptos" w:eastAsia="Aptos"/>
          <w:b/>
          <w:i w:val="0"/>
          <w:color w:val="5B9BD5"/>
          <w:sz w:val="56"/>
        </w:rPr>
        <w:t xml:space="preserve">ARES-PCJ </w:t>
      </w:r>
      <w:r>
        <w:rPr>
          <w:rFonts w:ascii="Aptos" w:hAnsi="Aptos" w:eastAsia="Aptos"/>
          <w:b/>
          <w:i w:val="0"/>
          <w:color w:val="5B9BD5"/>
          <w:sz w:val="56"/>
        </w:rPr>
        <w:t>BIÊNIO</w:t>
      </w:r>
      <w:r>
        <w:rPr>
          <w:rFonts w:ascii="Aptos" w:hAnsi="Aptos" w:eastAsia="Aptos"/>
          <w:b/>
          <w:i w:val="0"/>
          <w:color w:val="5B9BD5"/>
          <w:sz w:val="56"/>
        </w:rPr>
        <w:t xml:space="preserve">2026-2027 </w:t>
      </w:r>
    </w:p>
    <w:p>
      <w:pPr>
        <w:autoSpaceDN w:val="0"/>
        <w:tabs>
          <w:tab w:pos="8650" w:val="left"/>
        </w:tabs>
        <w:autoSpaceDE w:val="0"/>
        <w:widowControl/>
        <w:spacing w:line="197" w:lineRule="auto" w:before="91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688 – 18/02/2026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3</w:t>
      </w:r>
    </w:p>
    <w:p>
      <w:pPr>
        <w:sectPr>
          <w:pgSz w:w="11906" w:h="16838"/>
          <w:pgMar w:top="244" w:right="1332" w:bottom="51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-170180</wp:posOffset>
            </wp:positionH>
            <wp:positionV relativeFrom="page">
              <wp:posOffset>9625330</wp:posOffset>
            </wp:positionV>
            <wp:extent cx="7736839" cy="1079134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39" cy="107913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2532380</wp:posOffset>
            </wp:positionH>
            <wp:positionV relativeFrom="page">
              <wp:posOffset>311150</wp:posOffset>
            </wp:positionV>
            <wp:extent cx="2495549" cy="55118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5549" cy="5511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8" w:lineRule="auto" w:before="188" w:after="0"/>
        <w:ind w:left="0" w:right="0" w:firstLine="0"/>
        <w:jc w:val="center"/>
      </w:pPr>
      <w:r>
        <w:rPr>
          <w:rFonts w:ascii="Aptos" w:hAnsi="Aptos" w:eastAsia="Aptos"/>
          <w:b/>
          <w:i w:val="0"/>
          <w:color w:val="000000"/>
          <w:sz w:val="32"/>
        </w:rPr>
        <w:t xml:space="preserve">EXPEDIENTE </w:t>
      </w:r>
    </w:p>
    <w:p>
      <w:pPr>
        <w:autoSpaceDN w:val="0"/>
        <w:autoSpaceDE w:val="0"/>
        <w:widowControl/>
        <w:spacing w:line="245" w:lineRule="auto" w:before="670" w:after="0"/>
        <w:ind w:left="28" w:right="1152" w:firstLine="0"/>
        <w:jc w:val="left"/>
      </w:pPr>
      <w:r>
        <w:rPr>
          <w:rFonts w:ascii="Aptos" w:hAnsi="Aptos" w:eastAsia="Aptos"/>
          <w:b/>
          <w:i w:val="0"/>
          <w:color w:val="2E74B5"/>
          <w:sz w:val="23"/>
        </w:rPr>
        <w:t xml:space="preserve">Presidência </w:t>
      </w:r>
      <w:r>
        <w:br/>
      </w:r>
      <w:r>
        <w:rPr>
          <w:rFonts w:ascii="Aptos" w:hAnsi="Aptos" w:eastAsia="Aptos"/>
          <w:b w:val="0"/>
          <w:i w:val="0"/>
          <w:color w:val="000000"/>
          <w:sz w:val="23"/>
        </w:rPr>
        <w:t xml:space="preserve">Presidente: Dario Pacheco de Morais (Prefeito de Vinhedo) </w:t>
      </w:r>
      <w:r>
        <w:br/>
      </w:r>
      <w:r>
        <w:rPr>
          <w:rFonts w:ascii="Aptos" w:hAnsi="Aptos" w:eastAsia="Aptos"/>
          <w:b w:val="0"/>
          <w:i w:val="0"/>
          <w:color w:val="000000"/>
          <w:sz w:val="23"/>
        </w:rPr>
        <w:t xml:space="preserve">Vice-presidente: Nelita Cristina Michel Franceschini (Prefeita de Iracemápolis) </w:t>
      </w:r>
      <w:r>
        <w:rPr>
          <w:rFonts w:ascii="Aptos" w:hAnsi="Aptos" w:eastAsia="Aptos"/>
          <w:b w:val="0"/>
          <w:i w:val="0"/>
          <w:color w:val="000000"/>
          <w:sz w:val="23"/>
        </w:rPr>
        <w:t xml:space="preserve">Vice-presidente: Vitor Hugo Riccomini (Prefeito de Capivari) </w:t>
      </w:r>
    </w:p>
    <w:p>
      <w:pPr>
        <w:autoSpaceDN w:val="0"/>
        <w:autoSpaceDE w:val="0"/>
        <w:widowControl/>
        <w:spacing w:line="245" w:lineRule="auto" w:before="562" w:after="0"/>
        <w:ind w:left="28" w:right="2736" w:firstLine="0"/>
        <w:jc w:val="left"/>
      </w:pPr>
      <w:r>
        <w:rPr>
          <w:rFonts w:ascii="Aptos" w:hAnsi="Aptos" w:eastAsia="Aptos"/>
          <w:b/>
          <w:i w:val="0"/>
          <w:color w:val="2E74B5"/>
          <w:sz w:val="23"/>
        </w:rPr>
        <w:t xml:space="preserve">Diretoria Colegiada </w:t>
      </w:r>
      <w:r>
        <w:br/>
      </w:r>
      <w:r>
        <w:rPr>
          <w:rFonts w:ascii="Aptos" w:hAnsi="Aptos" w:eastAsia="Aptos"/>
          <w:b w:val="0"/>
          <w:i w:val="0"/>
          <w:color w:val="000000"/>
          <w:sz w:val="23"/>
        </w:rPr>
        <w:t xml:space="preserve">Diretor Geral: Dalto Favero Brochi </w:t>
      </w:r>
      <w:r>
        <w:br/>
      </w:r>
      <w:r>
        <w:rPr>
          <w:rFonts w:ascii="Aptos" w:hAnsi="Aptos" w:eastAsia="Aptos"/>
          <w:b w:val="0"/>
          <w:i w:val="0"/>
          <w:color w:val="000000"/>
          <w:sz w:val="23"/>
        </w:rPr>
        <w:t xml:space="preserve">Diretor Técnico-Operacional: Rodrigo Lopes de Freitas Leitão </w:t>
      </w:r>
      <w:r>
        <w:rPr>
          <w:rFonts w:ascii="Aptos" w:hAnsi="Aptos" w:eastAsia="Aptos"/>
          <w:b w:val="0"/>
          <w:i w:val="0"/>
          <w:color w:val="000000"/>
          <w:sz w:val="23"/>
        </w:rPr>
        <w:t xml:space="preserve">Diretor Administrativo e Financeiro: Carlos Roberto de Oliveira </w:t>
      </w:r>
    </w:p>
    <w:p>
      <w:pPr>
        <w:autoSpaceDN w:val="0"/>
        <w:autoSpaceDE w:val="0"/>
        <w:widowControl/>
        <w:spacing w:line="245" w:lineRule="auto" w:before="560" w:after="0"/>
        <w:ind w:left="28" w:right="2016" w:firstLine="0"/>
        <w:jc w:val="left"/>
      </w:pPr>
      <w:r>
        <w:rPr>
          <w:rFonts w:ascii="Aptos" w:hAnsi="Aptos" w:eastAsia="Aptos"/>
          <w:b/>
          <w:i w:val="0"/>
          <w:color w:val="2E74B5"/>
          <w:sz w:val="23"/>
        </w:rPr>
        <w:t xml:space="preserve">Agenda Regulatória 2026/2027 – Equipe de Consolidação </w:t>
      </w:r>
      <w:r>
        <w:br/>
      </w:r>
      <w:r>
        <w:rPr>
          <w:rFonts w:ascii="Aptos" w:hAnsi="Aptos" w:eastAsia="Aptos"/>
          <w:b w:val="0"/>
          <w:i w:val="0"/>
          <w:color w:val="000000"/>
          <w:sz w:val="23"/>
        </w:rPr>
        <w:t xml:space="preserve">Caroline Túbero Bachin – Assessora da Diretoria Técnico-Operacional </w:t>
      </w:r>
      <w:r>
        <w:rPr>
          <w:rFonts w:ascii="Aptos" w:hAnsi="Aptos" w:eastAsia="Aptos"/>
          <w:b w:val="0"/>
          <w:i w:val="0"/>
          <w:color w:val="000000"/>
          <w:sz w:val="23"/>
        </w:rPr>
        <w:t xml:space="preserve">Rodrigo de Oliveira Taufic – Coordenador de Normatização </w:t>
      </w:r>
      <w:r>
        <w:br/>
      </w:r>
      <w:r>
        <w:rPr>
          <w:rFonts w:ascii="Aptos" w:hAnsi="Aptos" w:eastAsia="Aptos"/>
          <w:b w:val="0"/>
          <w:i w:val="0"/>
          <w:color w:val="000000"/>
          <w:sz w:val="23"/>
        </w:rPr>
        <w:t xml:space="preserve">Samira Bevilaqua – Ouvidora </w:t>
      </w:r>
      <w:r>
        <w:br/>
      </w:r>
      <w:r>
        <w:rPr>
          <w:rFonts w:ascii="Aptos" w:hAnsi="Aptos" w:eastAsia="Aptos"/>
          <w:b w:val="0"/>
          <w:i w:val="0"/>
          <w:color w:val="000000"/>
          <w:sz w:val="23"/>
        </w:rPr>
        <w:t xml:space="preserve">Viviane Emannuele da Silva – Estagiária </w:t>
      </w:r>
    </w:p>
    <w:p>
      <w:pPr>
        <w:autoSpaceDN w:val="0"/>
        <w:tabs>
          <w:tab w:pos="8678" w:val="left"/>
        </w:tabs>
        <w:autoSpaceDE w:val="0"/>
        <w:widowControl/>
        <w:spacing w:line="197" w:lineRule="auto" w:before="8252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688 – 18/02/2026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4</w:t>
      </w:r>
    </w:p>
    <w:p>
      <w:pPr>
        <w:sectPr>
          <w:pgSz w:w="11906" w:h="16838"/>
          <w:pgMar w:top="244" w:right="1388" w:bottom="50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-170180</wp:posOffset>
            </wp:positionH>
            <wp:positionV relativeFrom="page">
              <wp:posOffset>9625330</wp:posOffset>
            </wp:positionV>
            <wp:extent cx="7736839" cy="1079134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39" cy="107913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2532380</wp:posOffset>
            </wp:positionH>
            <wp:positionV relativeFrom="page">
              <wp:posOffset>311150</wp:posOffset>
            </wp:positionV>
            <wp:extent cx="2495549" cy="55118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5549" cy="5511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8" w:lineRule="auto" w:before="188" w:after="0"/>
        <w:ind w:left="0" w:right="0" w:firstLine="0"/>
        <w:jc w:val="center"/>
      </w:pPr>
      <w:r>
        <w:rPr>
          <w:rFonts w:ascii="Aptos" w:hAnsi="Aptos" w:eastAsia="Aptos"/>
          <w:b/>
          <w:i w:val="0"/>
          <w:color w:val="000000"/>
          <w:sz w:val="32"/>
        </w:rPr>
        <w:t xml:space="preserve">SUMÁRIO </w:t>
      </w:r>
    </w:p>
    <w:p>
      <w:pPr>
        <w:autoSpaceDN w:val="0"/>
        <w:autoSpaceDE w:val="0"/>
        <w:widowControl/>
        <w:spacing w:line="228" w:lineRule="auto" w:before="330" w:after="0"/>
        <w:ind w:left="0" w:right="0" w:firstLine="0"/>
        <w:jc w:val="center"/>
      </w:pPr>
      <w:r>
        <w:rPr>
          <w:rFonts w:ascii="Aptos" w:hAnsi="Aptos" w:eastAsia="Aptos"/>
          <w:b/>
          <w:i w:val="0"/>
          <w:color w:val="000000"/>
          <w:sz w:val="20"/>
        </w:rPr>
        <w:t>EXPEDIENTE ................................................................................................................................ 4</w:t>
      </w:r>
    </w:p>
    <w:p>
      <w:pPr>
        <w:autoSpaceDN w:val="0"/>
        <w:autoSpaceDE w:val="0"/>
        <w:widowControl/>
        <w:spacing w:line="228" w:lineRule="auto" w:before="140" w:after="0"/>
        <w:ind w:left="0" w:right="0" w:firstLine="0"/>
        <w:jc w:val="center"/>
      </w:pPr>
      <w:r>
        <w:rPr>
          <w:rFonts w:ascii="Aptos" w:hAnsi="Aptos" w:eastAsia="Aptos"/>
          <w:b/>
          <w:i w:val="0"/>
          <w:color w:val="000000"/>
          <w:sz w:val="20"/>
        </w:rPr>
        <w:t>SUMÁRIO ..................................................................................................................................... 5</w:t>
      </w:r>
    </w:p>
    <w:p>
      <w:pPr>
        <w:autoSpaceDN w:val="0"/>
        <w:autoSpaceDE w:val="0"/>
        <w:widowControl/>
        <w:spacing w:line="228" w:lineRule="auto" w:before="140" w:after="0"/>
        <w:ind w:left="0" w:right="0" w:firstLine="0"/>
        <w:jc w:val="center"/>
      </w:pPr>
      <w:r>
        <w:rPr>
          <w:rFonts w:ascii="Aptos" w:hAnsi="Aptos" w:eastAsia="Aptos"/>
          <w:b/>
          <w:i w:val="0"/>
          <w:color w:val="000000"/>
          <w:sz w:val="20"/>
        </w:rPr>
        <w:t>APRESENTAÇÃO .......................................................................................................................... 6</w:t>
      </w:r>
    </w:p>
    <w:p>
      <w:pPr>
        <w:autoSpaceDN w:val="0"/>
        <w:tabs>
          <w:tab w:pos="468" w:val="left"/>
        </w:tabs>
        <w:autoSpaceDE w:val="0"/>
        <w:widowControl/>
        <w:spacing w:line="228" w:lineRule="auto" w:before="140" w:after="0"/>
        <w:ind w:left="28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0"/>
        </w:rPr>
        <w:t xml:space="preserve">1. </w:t>
      </w:r>
      <w:r>
        <w:tab/>
      </w:r>
      <w:r>
        <w:rPr>
          <w:rFonts w:ascii="Aptos" w:hAnsi="Aptos" w:eastAsia="Aptos"/>
          <w:b/>
          <w:i w:val="0"/>
          <w:color w:val="000000"/>
          <w:sz w:val="20"/>
        </w:rPr>
        <w:t>AGENDA REGULATÓRIA EM NÚMEROS ................................................................................... 7</w:t>
      </w:r>
    </w:p>
    <w:p>
      <w:pPr>
        <w:autoSpaceDN w:val="0"/>
        <w:tabs>
          <w:tab w:pos="468" w:val="left"/>
        </w:tabs>
        <w:autoSpaceDE w:val="0"/>
        <w:widowControl/>
        <w:spacing w:line="228" w:lineRule="auto" w:before="138" w:after="0"/>
        <w:ind w:left="28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0"/>
        </w:rPr>
        <w:t xml:space="preserve">2. </w:t>
      </w:r>
      <w:r>
        <w:tab/>
      </w:r>
      <w:r>
        <w:rPr>
          <w:rFonts w:ascii="Aptos" w:hAnsi="Aptos" w:eastAsia="Aptos"/>
          <w:b/>
          <w:i w:val="0"/>
          <w:color w:val="000000"/>
          <w:sz w:val="20"/>
        </w:rPr>
        <w:t>ORGANIZAÇÃO TEMÁTICA DA AGENDA REGULATÓRIA ........................................................... 7</w:t>
      </w:r>
    </w:p>
    <w:p>
      <w:pPr>
        <w:autoSpaceDN w:val="0"/>
        <w:tabs>
          <w:tab w:pos="468" w:val="left"/>
        </w:tabs>
        <w:autoSpaceDE w:val="0"/>
        <w:widowControl/>
        <w:spacing w:line="228" w:lineRule="auto" w:before="142" w:after="0"/>
        <w:ind w:left="28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0"/>
        </w:rPr>
        <w:t xml:space="preserve">3. </w:t>
      </w:r>
      <w:r>
        <w:tab/>
      </w:r>
      <w:r>
        <w:rPr>
          <w:rFonts w:ascii="Aptos" w:hAnsi="Aptos" w:eastAsia="Aptos"/>
          <w:b/>
          <w:i w:val="0"/>
          <w:color w:val="000000"/>
          <w:sz w:val="20"/>
        </w:rPr>
        <w:t>FORMA DE APRESENTAÇÃO DOS PROJETOS .......................................................................... 8</w:t>
      </w:r>
    </w:p>
    <w:p>
      <w:pPr>
        <w:autoSpaceDN w:val="0"/>
        <w:tabs>
          <w:tab w:pos="468" w:val="left"/>
        </w:tabs>
        <w:autoSpaceDE w:val="0"/>
        <w:widowControl/>
        <w:spacing w:line="228" w:lineRule="auto" w:before="142" w:after="0"/>
        <w:ind w:left="28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0"/>
        </w:rPr>
        <w:t xml:space="preserve">4. </w:t>
      </w:r>
      <w:r>
        <w:tab/>
      </w:r>
      <w:r>
        <w:rPr>
          <w:rFonts w:ascii="Aptos" w:hAnsi="Aptos" w:eastAsia="Aptos"/>
          <w:b/>
          <w:i w:val="0"/>
          <w:color w:val="000000"/>
          <w:sz w:val="20"/>
        </w:rPr>
        <w:t>RELAÇÃO DE PROJETOS ...................................................................................................... 10</w:t>
      </w:r>
    </w:p>
    <w:p>
      <w:pPr>
        <w:autoSpaceDN w:val="0"/>
        <w:tabs>
          <w:tab w:pos="468" w:val="left"/>
        </w:tabs>
        <w:autoSpaceDE w:val="0"/>
        <w:widowControl/>
        <w:spacing w:line="247" w:lineRule="auto" w:before="142" w:after="0"/>
        <w:ind w:left="25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0"/>
        </w:rPr>
        <w:t>EIXO</w:t>
      </w:r>
      <w:r>
        <w:rPr>
          <w:rFonts w:ascii="Aptos" w:hAnsi="Aptos" w:eastAsia="Aptos"/>
          <w:b w:val="0"/>
          <w:i w:val="0"/>
          <w:color w:val="000000"/>
          <w:sz w:val="20"/>
        </w:rPr>
        <w:t>1</w:t>
      </w:r>
      <w:r>
        <w:rPr>
          <w:rFonts w:ascii="Aptos" w:hAnsi="Aptos" w:eastAsia="Aptos"/>
          <w:b w:val="0"/>
          <w:i w:val="0"/>
          <w:color w:val="000000"/>
          <w:sz w:val="20"/>
        </w:rPr>
        <w:t>—</w:t>
      </w:r>
      <w:r>
        <w:rPr>
          <w:rFonts w:ascii="Aptos" w:hAnsi="Aptos" w:eastAsia="Aptos"/>
          <w:b w:val="0"/>
          <w:i w:val="0"/>
          <w:color w:val="000000"/>
          <w:sz w:val="20"/>
        </w:rPr>
        <w:t>REGULAÇÃO</w:t>
      </w:r>
      <w:r>
        <w:rPr>
          <w:rFonts w:ascii="Aptos" w:hAnsi="Aptos" w:eastAsia="Aptos"/>
          <w:b w:val="0"/>
          <w:i w:val="0"/>
          <w:color w:val="000000"/>
          <w:sz w:val="20"/>
        </w:rPr>
        <w:t>ECONÔMICO-FINANCEIRA,</w:t>
      </w:r>
      <w:r>
        <w:rPr>
          <w:rFonts w:ascii="Aptos" w:hAnsi="Aptos" w:eastAsia="Aptos"/>
          <w:b w:val="0"/>
          <w:i w:val="0"/>
          <w:color w:val="000000"/>
          <w:sz w:val="20"/>
        </w:rPr>
        <w:t>TARIFÁRIA</w:t>
      </w:r>
      <w:r>
        <w:rPr>
          <w:rFonts w:ascii="Aptos" w:hAnsi="Aptos" w:eastAsia="Aptos"/>
          <w:b w:val="0"/>
          <w:i w:val="0"/>
          <w:color w:val="000000"/>
          <w:sz w:val="20"/>
        </w:rPr>
        <w:t>E</w:t>
      </w:r>
      <w:r>
        <w:rPr>
          <w:rFonts w:ascii="Aptos" w:hAnsi="Aptos" w:eastAsia="Aptos"/>
          <w:b w:val="0"/>
          <w:i w:val="0"/>
          <w:color w:val="000000"/>
          <w:sz w:val="20"/>
        </w:rPr>
        <w:t xml:space="preserve">CONTRATUAL ............................... 10 </w:t>
      </w:r>
      <w:r>
        <w:tab/>
      </w:r>
      <w:r>
        <w:rPr>
          <w:rFonts w:ascii="Aptos" w:hAnsi="Aptos" w:eastAsia="Aptos"/>
          <w:b w:val="0"/>
          <w:i/>
          <w:color w:val="000000"/>
          <w:sz w:val="20"/>
        </w:rPr>
        <w:t xml:space="preserve">1.1. Adoção da NR ANA nº 06/2024 - Modelos de Regulação Tarifária .......................................... 10 </w:t>
      </w:r>
      <w:r>
        <w:tab/>
      </w:r>
      <w:r>
        <w:rPr>
          <w:rFonts w:ascii="Aptos" w:hAnsi="Aptos" w:eastAsia="Aptos"/>
          <w:b w:val="0"/>
          <w:i/>
          <w:color w:val="000000"/>
          <w:sz w:val="20"/>
        </w:rPr>
        <w:t xml:space="preserve">1.2. Adoção da NR ANA nº 10/2024 - Metodologias de Cálculo e Procedimentos para Reajuste </w:t>
      </w:r>
      <w:r>
        <w:tab/>
      </w:r>
      <w:r>
        <w:rPr>
          <w:rFonts w:ascii="Aptos" w:hAnsi="Aptos" w:eastAsia="Aptos"/>
          <w:b w:val="0"/>
          <w:i/>
          <w:color w:val="000000"/>
          <w:sz w:val="20"/>
        </w:rPr>
        <w:t xml:space="preserve">Tarifário .................................................................................................................................... 10 </w:t>
      </w:r>
      <w:r>
        <w:tab/>
      </w:r>
      <w:r>
        <w:rPr>
          <w:rFonts w:ascii="Aptos" w:hAnsi="Aptos" w:eastAsia="Aptos"/>
          <w:b w:val="0"/>
          <w:i/>
          <w:color w:val="000000"/>
          <w:sz w:val="20"/>
        </w:rPr>
        <w:t xml:space="preserve">1.3. Adoção da NR ANA nº 13/2025 - Estrutura Tarifária e Tarifa Social ......................................... 11 </w:t>
      </w:r>
      <w:r>
        <w:tab/>
      </w:r>
      <w:r>
        <w:rPr>
          <w:rFonts w:ascii="Aptos" w:hAnsi="Aptos" w:eastAsia="Aptos"/>
          <w:b w:val="0"/>
          <w:i/>
          <w:color w:val="000000"/>
          <w:sz w:val="20"/>
        </w:rPr>
        <w:t xml:space="preserve">1.4. Revisão da Resolução ARES-PCJ nº 303/2019 ...................................................................... 11 </w:t>
      </w:r>
      <w:r>
        <w:tab/>
      </w:r>
      <w:r>
        <w:rPr>
          <w:rFonts w:ascii="Aptos" w:hAnsi="Aptos" w:eastAsia="Aptos"/>
          <w:b w:val="0"/>
          <w:i/>
          <w:color w:val="000000"/>
          <w:sz w:val="20"/>
        </w:rPr>
        <w:t xml:space="preserve">1.5. Revisão da Resolução ARES-PCJ nº 423/2022 - Preços Públicos de Serviços Individuais ........ 12 </w:t>
      </w:r>
      <w:r>
        <w:tab/>
      </w:r>
      <w:r>
        <w:rPr>
          <w:rFonts w:ascii="Aptos" w:hAnsi="Aptos" w:eastAsia="Aptos"/>
          <w:b w:val="0"/>
          <w:i/>
          <w:color w:val="000000"/>
          <w:sz w:val="20"/>
        </w:rPr>
        <w:t xml:space="preserve">1.6. Revisão da Resolução ARES-PCJ nº 94/2015 ........................................................................ 12 </w:t>
      </w:r>
      <w:r>
        <w:tab/>
      </w:r>
      <w:r>
        <w:rPr>
          <w:rFonts w:ascii="Aptos" w:hAnsi="Aptos" w:eastAsia="Aptos"/>
          <w:b w:val="0"/>
          <w:i/>
          <w:color w:val="000000"/>
          <w:sz w:val="20"/>
        </w:rPr>
        <w:t xml:space="preserve">1.7. Reforma Tributária .............................................................................................................. 13 </w:t>
      </w:r>
      <w:r>
        <w:tab/>
      </w:r>
      <w:r>
        <w:rPr>
          <w:rFonts w:ascii="Aptos" w:hAnsi="Aptos" w:eastAsia="Aptos"/>
          <w:b w:val="0"/>
          <w:i/>
          <w:color w:val="000000"/>
          <w:sz w:val="20"/>
        </w:rPr>
        <w:t xml:space="preserve">1.8. Sustentabilidade Econômico-Financeira SMRSU ................................................................. 13 </w:t>
      </w:r>
      <w:r>
        <w:tab/>
      </w:r>
      <w:r>
        <w:rPr>
          <w:rFonts w:ascii="Aptos" w:hAnsi="Aptos" w:eastAsia="Aptos"/>
          <w:b w:val="0"/>
          <w:i/>
          <w:color w:val="000000"/>
          <w:sz w:val="20"/>
        </w:rPr>
        <w:t xml:space="preserve">1.9. Regulação econômica de Soluções Alternativas de Água/Esgoto .......................................... 14 </w:t>
      </w:r>
      <w:r>
        <w:tab/>
      </w:r>
      <w:r>
        <w:rPr>
          <w:rFonts w:ascii="Aptos" w:hAnsi="Aptos" w:eastAsia="Aptos"/>
          <w:b w:val="0"/>
          <w:i/>
          <w:color w:val="000000"/>
          <w:sz w:val="20"/>
        </w:rPr>
        <w:t xml:space="preserve">1.10. Aprimoramentos à Resolução ARES-PCJ nº 592/2024 ......................................................... 14 </w:t>
      </w:r>
      <w:r>
        <w:rPr>
          <w:rFonts w:ascii="Aptos" w:hAnsi="Aptos" w:eastAsia="Aptos"/>
          <w:b w:val="0"/>
          <w:i w:val="0"/>
          <w:color w:val="000000"/>
          <w:sz w:val="20"/>
        </w:rPr>
        <w:t>EIXO</w:t>
      </w:r>
      <w:r>
        <w:rPr>
          <w:rFonts w:ascii="Aptos" w:hAnsi="Aptos" w:eastAsia="Aptos"/>
          <w:b w:val="0"/>
          <w:i w:val="0"/>
          <w:color w:val="000000"/>
          <w:sz w:val="20"/>
        </w:rPr>
        <w:t>2</w:t>
      </w:r>
      <w:r>
        <w:rPr>
          <w:rFonts w:ascii="Aptos" w:hAnsi="Aptos" w:eastAsia="Aptos"/>
          <w:b w:val="0"/>
          <w:i w:val="0"/>
          <w:color w:val="000000"/>
          <w:sz w:val="20"/>
        </w:rPr>
        <w:t>—</w:t>
      </w:r>
      <w:r>
        <w:rPr>
          <w:rFonts w:ascii="Aptos" w:hAnsi="Aptos" w:eastAsia="Aptos"/>
          <w:b w:val="0"/>
          <w:i w:val="0"/>
          <w:color w:val="000000"/>
          <w:sz w:val="20"/>
        </w:rPr>
        <w:t>PLANEJAMENTO</w:t>
      </w:r>
      <w:r>
        <w:rPr>
          <w:rFonts w:ascii="Aptos" w:hAnsi="Aptos" w:eastAsia="Aptos"/>
          <w:b w:val="0"/>
          <w:i w:val="0"/>
          <w:color w:val="000000"/>
          <w:sz w:val="20"/>
        </w:rPr>
        <w:t>SETORIAL,</w:t>
      </w:r>
      <w:r>
        <w:rPr>
          <w:rFonts w:ascii="Aptos" w:hAnsi="Aptos" w:eastAsia="Aptos"/>
          <w:b w:val="0"/>
          <w:i w:val="0"/>
          <w:color w:val="000000"/>
          <w:sz w:val="20"/>
        </w:rPr>
        <w:t>UNIVERSALIZAÇÃO</w:t>
      </w:r>
      <w:r>
        <w:rPr>
          <w:rFonts w:ascii="Aptos" w:hAnsi="Aptos" w:eastAsia="Aptos"/>
          <w:b w:val="0"/>
          <w:i w:val="0"/>
          <w:color w:val="000000"/>
          <w:sz w:val="20"/>
        </w:rPr>
        <w:t>E</w:t>
      </w:r>
      <w:r>
        <w:rPr>
          <w:rFonts w:ascii="Aptos" w:hAnsi="Aptos" w:eastAsia="Aptos"/>
          <w:b w:val="0"/>
          <w:i w:val="0"/>
          <w:color w:val="000000"/>
          <w:sz w:val="20"/>
        </w:rPr>
        <w:t>SEGURANÇA</w:t>
      </w:r>
      <w:r>
        <w:rPr>
          <w:rFonts w:ascii="Aptos" w:hAnsi="Aptos" w:eastAsia="Aptos"/>
          <w:b w:val="0"/>
          <w:i w:val="0"/>
          <w:color w:val="000000"/>
          <w:sz w:val="20"/>
        </w:rPr>
        <w:t xml:space="preserve">HÍDRICA .......................... 15 </w:t>
      </w:r>
      <w:r>
        <w:tab/>
      </w:r>
      <w:r>
        <w:rPr>
          <w:rFonts w:ascii="Aptos" w:hAnsi="Aptos" w:eastAsia="Aptos"/>
          <w:b w:val="0"/>
          <w:i/>
          <w:color w:val="000000"/>
          <w:sz w:val="20"/>
        </w:rPr>
        <w:t xml:space="preserve">2.1. Conteúdo Mínimo PMSBs ................................................................................................... 15 </w:t>
      </w:r>
      <w:r>
        <w:tab/>
      </w:r>
      <w:r>
        <w:rPr>
          <w:rFonts w:ascii="Aptos" w:hAnsi="Aptos" w:eastAsia="Aptos"/>
          <w:b w:val="0"/>
          <w:i/>
          <w:color w:val="000000"/>
          <w:sz w:val="20"/>
        </w:rPr>
        <w:t xml:space="preserve">2.2. Procedimentos Regulatórios - Escassez Hídrica e Desabastecimento de Água ...................... 15 </w:t>
      </w:r>
      <w:r>
        <w:tab/>
      </w:r>
      <w:r>
        <w:rPr>
          <w:rFonts w:ascii="Aptos" w:hAnsi="Aptos" w:eastAsia="Aptos"/>
          <w:b w:val="0"/>
          <w:i/>
          <w:color w:val="000000"/>
          <w:sz w:val="20"/>
        </w:rPr>
        <w:t xml:space="preserve">2.3. Adoção da NR ANA nº 15/2025 - Redução Progressiva e Controle de Perdas de Água ............. 16 </w:t>
      </w:r>
      <w:r>
        <w:tab/>
      </w:r>
      <w:r>
        <w:rPr>
          <w:rFonts w:ascii="Aptos" w:hAnsi="Aptos" w:eastAsia="Aptos"/>
          <w:b w:val="0"/>
          <w:i/>
          <w:color w:val="000000"/>
          <w:sz w:val="20"/>
        </w:rPr>
        <w:t xml:space="preserve">2.4. Estruturação dos Serviços Públicos de Drenagem e Manejo de Águas Pluviais Urbanas ......... 16 </w:t>
      </w:r>
      <w:r>
        <w:tab/>
      </w:r>
      <w:r>
        <w:rPr>
          <w:rFonts w:ascii="Aptos" w:hAnsi="Aptos" w:eastAsia="Aptos"/>
          <w:b w:val="0"/>
          <w:i/>
          <w:color w:val="000000"/>
          <w:sz w:val="20"/>
        </w:rPr>
        <w:t xml:space="preserve">2.5. Regulamentação e Incentivo a água de reúso ....................................................................... 17 </w:t>
      </w:r>
      <w:r>
        <w:rPr>
          <w:rFonts w:ascii="Aptos" w:hAnsi="Aptos" w:eastAsia="Aptos"/>
          <w:b w:val="0"/>
          <w:i w:val="0"/>
          <w:color w:val="000000"/>
          <w:sz w:val="20"/>
        </w:rPr>
        <w:t>EIXO</w:t>
      </w:r>
      <w:r>
        <w:rPr>
          <w:rFonts w:ascii="Aptos" w:hAnsi="Aptos" w:eastAsia="Aptos"/>
          <w:b w:val="0"/>
          <w:i w:val="0"/>
          <w:color w:val="000000"/>
          <w:sz w:val="20"/>
        </w:rPr>
        <w:t>3</w:t>
      </w:r>
      <w:r>
        <w:rPr>
          <w:rFonts w:ascii="Aptos" w:hAnsi="Aptos" w:eastAsia="Aptos"/>
          <w:b w:val="0"/>
          <w:i w:val="0"/>
          <w:color w:val="000000"/>
          <w:sz w:val="20"/>
        </w:rPr>
        <w:t>—</w:t>
      </w:r>
      <w:r>
        <w:rPr>
          <w:rFonts w:ascii="Aptos" w:hAnsi="Aptos" w:eastAsia="Aptos"/>
          <w:b w:val="0"/>
          <w:i w:val="0"/>
          <w:color w:val="000000"/>
          <w:sz w:val="20"/>
        </w:rPr>
        <w:t>FISCALIZAÇÃO,</w:t>
      </w:r>
      <w:r>
        <w:rPr>
          <w:rFonts w:ascii="Aptos" w:hAnsi="Aptos" w:eastAsia="Aptos"/>
          <w:b w:val="0"/>
          <w:i w:val="0"/>
          <w:color w:val="000000"/>
          <w:sz w:val="20"/>
        </w:rPr>
        <w:t>QUALIDADE</w:t>
      </w:r>
      <w:r>
        <w:rPr>
          <w:rFonts w:ascii="Aptos" w:hAnsi="Aptos" w:eastAsia="Aptos"/>
          <w:b w:val="0"/>
          <w:i w:val="0"/>
          <w:color w:val="000000"/>
          <w:sz w:val="20"/>
        </w:rPr>
        <w:t>DOS</w:t>
      </w:r>
      <w:r>
        <w:rPr>
          <w:rFonts w:ascii="Aptos" w:hAnsi="Aptos" w:eastAsia="Aptos"/>
          <w:b w:val="0"/>
          <w:i w:val="0"/>
          <w:color w:val="000000"/>
          <w:sz w:val="20"/>
        </w:rPr>
        <w:t>SERVIÇOS</w:t>
      </w:r>
      <w:r>
        <w:rPr>
          <w:rFonts w:ascii="Aptos" w:hAnsi="Aptos" w:eastAsia="Aptos"/>
          <w:b w:val="0"/>
          <w:i w:val="0"/>
          <w:color w:val="000000"/>
          <w:sz w:val="20"/>
        </w:rPr>
        <w:t>E</w:t>
      </w:r>
      <w:r>
        <w:rPr>
          <w:rFonts w:ascii="Aptos" w:hAnsi="Aptos" w:eastAsia="Aptos"/>
          <w:b w:val="0"/>
          <w:i w:val="0"/>
          <w:color w:val="000000"/>
          <w:sz w:val="20"/>
        </w:rPr>
        <w:t>EFICIÊNCIA</w:t>
      </w:r>
      <w:r>
        <w:rPr>
          <w:rFonts w:ascii="Aptos" w:hAnsi="Aptos" w:eastAsia="Aptos"/>
          <w:b w:val="0"/>
          <w:i w:val="0"/>
          <w:color w:val="000000"/>
          <w:sz w:val="20"/>
        </w:rPr>
        <w:t xml:space="preserve">OPERACIONAL ....................... 18 </w:t>
      </w:r>
      <w:r>
        <w:tab/>
      </w:r>
      <w:r>
        <w:rPr>
          <w:rFonts w:ascii="Aptos" w:hAnsi="Aptos" w:eastAsia="Aptos"/>
          <w:b w:val="0"/>
          <w:i/>
          <w:color w:val="000000"/>
          <w:sz w:val="20"/>
        </w:rPr>
        <w:t xml:space="preserve">3.1. Fiscalização Evolutiva......................................................................................................... 18 </w:t>
      </w:r>
      <w:r>
        <w:tab/>
      </w:r>
      <w:r>
        <w:rPr>
          <w:rFonts w:ascii="Aptos" w:hAnsi="Aptos" w:eastAsia="Aptos"/>
          <w:b w:val="0"/>
          <w:i/>
          <w:color w:val="000000"/>
          <w:sz w:val="20"/>
        </w:rPr>
        <w:t xml:space="preserve">3.2. Manual de Fiscalização (Abastecimento de Água e Esgotamento Sanitário) ........................... 18 </w:t>
      </w:r>
      <w:r>
        <w:tab/>
      </w:r>
      <w:r>
        <w:rPr>
          <w:rFonts w:ascii="Aptos" w:hAnsi="Aptos" w:eastAsia="Aptos"/>
          <w:b w:val="0"/>
          <w:i/>
          <w:color w:val="000000"/>
          <w:sz w:val="20"/>
        </w:rPr>
        <w:t xml:space="preserve">3.3. Manual de Fiscalização (Limpeza Urbana e Manejo de Resíduos Sólidos) .............................. 19 </w:t>
      </w:r>
      <w:r>
        <w:tab/>
      </w:r>
      <w:r>
        <w:rPr>
          <w:rFonts w:ascii="Aptos" w:hAnsi="Aptos" w:eastAsia="Aptos"/>
          <w:b w:val="0"/>
          <w:i/>
          <w:color w:val="000000"/>
          <w:sz w:val="20"/>
        </w:rPr>
        <w:t xml:space="preserve">3.4. Manual de Avaliação de Investimentos ................................................................................ 19 </w:t>
      </w:r>
      <w:r>
        <w:tab/>
      </w:r>
      <w:r>
        <w:rPr>
          <w:rFonts w:ascii="Aptos" w:hAnsi="Aptos" w:eastAsia="Aptos"/>
          <w:b w:val="0"/>
          <w:i/>
          <w:color w:val="000000"/>
          <w:sz w:val="20"/>
        </w:rPr>
        <w:t xml:space="preserve">Título Projeto ............................................................................................................................ 20 </w:t>
      </w:r>
      <w:r>
        <w:tab/>
      </w:r>
      <w:r>
        <w:rPr>
          <w:rFonts w:ascii="Aptos" w:hAnsi="Aptos" w:eastAsia="Aptos"/>
          <w:b w:val="0"/>
          <w:i/>
          <w:color w:val="000000"/>
          <w:sz w:val="20"/>
        </w:rPr>
        <w:t xml:space="preserve">3.5. Metodologia ACERTAR ........................................................................................................ 20 </w:t>
      </w:r>
      <w:r>
        <w:tab/>
      </w:r>
      <w:r>
        <w:rPr>
          <w:rFonts w:ascii="Aptos" w:hAnsi="Aptos" w:eastAsia="Aptos"/>
          <w:b w:val="0"/>
          <w:i/>
          <w:color w:val="000000"/>
          <w:sz w:val="20"/>
        </w:rPr>
        <w:t xml:space="preserve">3.6. Adoção da NR ANA nº 09/2024 - Indicadores Operacionais A&amp;E ............................................ 20 </w:t>
      </w:r>
      <w:r>
        <w:tab/>
      </w:r>
      <w:r>
        <w:rPr>
          <w:rFonts w:ascii="Aptos" w:hAnsi="Aptos" w:eastAsia="Aptos"/>
          <w:b w:val="0"/>
          <w:i/>
          <w:color w:val="000000"/>
          <w:sz w:val="20"/>
        </w:rPr>
        <w:t xml:space="preserve">3.7. Adoção da NR ANA nº 11/2024 e aprimoramentos à Resolução 50/2014 ............................... 21 </w:t>
      </w:r>
      <w:r>
        <w:tab/>
      </w:r>
      <w:r>
        <w:rPr>
          <w:rFonts w:ascii="Aptos" w:hAnsi="Aptos" w:eastAsia="Aptos"/>
          <w:b w:val="0"/>
          <w:i/>
          <w:color w:val="000000"/>
          <w:sz w:val="20"/>
        </w:rPr>
        <w:t xml:space="preserve">3.8. Condições Gerais da prestação dos serviços públicos relacionados às soluções alternativas </w:t>
      </w:r>
      <w:r>
        <w:tab/>
      </w:r>
      <w:r>
        <w:rPr>
          <w:rFonts w:ascii="Aptos" w:hAnsi="Aptos" w:eastAsia="Aptos"/>
          <w:b w:val="0"/>
          <w:i/>
          <w:color w:val="000000"/>
          <w:sz w:val="20"/>
        </w:rPr>
        <w:t xml:space="preserve">adequadas de abastecimento de água e esgotamento sanitário .................................................. 21 </w:t>
      </w:r>
      <w:r>
        <w:rPr>
          <w:rFonts w:ascii="Aptos" w:hAnsi="Aptos" w:eastAsia="Aptos"/>
          <w:b w:val="0"/>
          <w:i w:val="0"/>
          <w:color w:val="000000"/>
          <w:sz w:val="20"/>
        </w:rPr>
        <w:t>EIXO</w:t>
      </w:r>
      <w:r>
        <w:rPr>
          <w:rFonts w:ascii="Aptos" w:hAnsi="Aptos" w:eastAsia="Aptos"/>
          <w:b w:val="0"/>
          <w:i w:val="0"/>
          <w:color w:val="000000"/>
          <w:sz w:val="20"/>
        </w:rPr>
        <w:t>4</w:t>
      </w:r>
      <w:r>
        <w:rPr>
          <w:rFonts w:ascii="Aptos" w:hAnsi="Aptos" w:eastAsia="Aptos"/>
          <w:b w:val="0"/>
          <w:i w:val="0"/>
          <w:color w:val="000000"/>
          <w:sz w:val="20"/>
        </w:rPr>
        <w:t>—</w:t>
      </w:r>
      <w:r>
        <w:rPr>
          <w:rFonts w:ascii="Aptos" w:hAnsi="Aptos" w:eastAsia="Aptos"/>
          <w:b w:val="0"/>
          <w:i w:val="0"/>
          <w:color w:val="000000"/>
          <w:sz w:val="20"/>
        </w:rPr>
        <w:t>GOVERNANÇA,</w:t>
      </w:r>
      <w:r>
        <w:rPr>
          <w:rFonts w:ascii="Aptos" w:hAnsi="Aptos" w:eastAsia="Aptos"/>
          <w:b w:val="0"/>
          <w:i w:val="0"/>
          <w:color w:val="000000"/>
          <w:sz w:val="20"/>
        </w:rPr>
        <w:t>QUALIDADE</w:t>
      </w:r>
      <w:r>
        <w:rPr>
          <w:rFonts w:ascii="Aptos" w:hAnsi="Aptos" w:eastAsia="Aptos"/>
          <w:b w:val="0"/>
          <w:i w:val="0"/>
          <w:color w:val="000000"/>
          <w:sz w:val="20"/>
        </w:rPr>
        <w:t>REGULATÓRIA</w:t>
      </w:r>
      <w:r>
        <w:rPr>
          <w:rFonts w:ascii="Aptos" w:hAnsi="Aptos" w:eastAsia="Aptos"/>
          <w:b w:val="0"/>
          <w:i w:val="0"/>
          <w:color w:val="000000"/>
          <w:sz w:val="20"/>
        </w:rPr>
        <w:t>E</w:t>
      </w:r>
      <w:r>
        <w:rPr>
          <w:rFonts w:ascii="Aptos" w:hAnsi="Aptos" w:eastAsia="Aptos"/>
          <w:b w:val="0"/>
          <w:i w:val="0"/>
          <w:color w:val="000000"/>
          <w:sz w:val="20"/>
        </w:rPr>
        <w:t>GESTÃO</w:t>
      </w:r>
      <w:r>
        <w:rPr>
          <w:rFonts w:ascii="Aptos" w:hAnsi="Aptos" w:eastAsia="Aptos"/>
          <w:b w:val="0"/>
          <w:i w:val="0"/>
          <w:color w:val="000000"/>
          <w:sz w:val="20"/>
        </w:rPr>
        <w:t>DA</w:t>
      </w:r>
      <w:r>
        <w:rPr>
          <w:rFonts w:ascii="Aptos" w:hAnsi="Aptos" w:eastAsia="Aptos"/>
          <w:b w:val="0"/>
          <w:i w:val="0"/>
          <w:color w:val="000000"/>
          <w:sz w:val="20"/>
        </w:rPr>
        <w:t xml:space="preserve">INFORMAÇÃO .......................... 22 </w:t>
      </w:r>
      <w:r>
        <w:tab/>
      </w:r>
      <w:r>
        <w:rPr>
          <w:rFonts w:ascii="Aptos" w:hAnsi="Aptos" w:eastAsia="Aptos"/>
          <w:b w:val="0"/>
          <w:i/>
          <w:color w:val="000000"/>
          <w:sz w:val="20"/>
        </w:rPr>
        <w:t xml:space="preserve">4.1. Qualidade Regulatória ........................................................................................................ 22 </w:t>
      </w:r>
      <w:r>
        <w:tab/>
      </w:r>
      <w:r>
        <w:rPr>
          <w:rFonts w:ascii="Aptos" w:hAnsi="Aptos" w:eastAsia="Aptos"/>
          <w:b w:val="0"/>
          <w:i/>
          <w:color w:val="000000"/>
          <w:sz w:val="20"/>
        </w:rPr>
        <w:t xml:space="preserve">4.2. Gestão do Estoque Regulatório ........................................................................................... 22 </w:t>
      </w:r>
      <w:r>
        <w:rPr>
          <w:rFonts w:ascii="Aptos" w:hAnsi="Aptos" w:eastAsia="Aptos"/>
          <w:b w:val="0"/>
          <w:i w:val="0"/>
          <w:color w:val="000000"/>
          <w:sz w:val="20"/>
        </w:rPr>
        <w:t>EIXO</w:t>
      </w:r>
      <w:r>
        <w:rPr>
          <w:rFonts w:ascii="Aptos" w:hAnsi="Aptos" w:eastAsia="Aptos"/>
          <w:b w:val="0"/>
          <w:i w:val="0"/>
          <w:color w:val="000000"/>
          <w:sz w:val="20"/>
        </w:rPr>
        <w:t>5</w:t>
      </w:r>
      <w:r>
        <w:rPr>
          <w:rFonts w:ascii="Aptos" w:hAnsi="Aptos" w:eastAsia="Aptos"/>
          <w:b w:val="0"/>
          <w:i w:val="0"/>
          <w:color w:val="000000"/>
          <w:sz w:val="20"/>
        </w:rPr>
        <w:t>—</w:t>
      </w:r>
      <w:r>
        <w:rPr>
          <w:rFonts w:ascii="Aptos" w:hAnsi="Aptos" w:eastAsia="Aptos"/>
          <w:b w:val="0"/>
          <w:i w:val="0"/>
          <w:color w:val="000000"/>
          <w:sz w:val="20"/>
        </w:rPr>
        <w:t>USUÁRIOS,</w:t>
      </w:r>
      <w:r>
        <w:rPr>
          <w:rFonts w:ascii="Aptos" w:hAnsi="Aptos" w:eastAsia="Aptos"/>
          <w:b w:val="0"/>
          <w:i w:val="0"/>
          <w:color w:val="000000"/>
          <w:sz w:val="20"/>
        </w:rPr>
        <w:t>COMUNICAÇÃO</w:t>
      </w:r>
      <w:r>
        <w:rPr>
          <w:rFonts w:ascii="Aptos" w:hAnsi="Aptos" w:eastAsia="Aptos"/>
          <w:b w:val="0"/>
          <w:i w:val="0"/>
          <w:color w:val="000000"/>
          <w:sz w:val="20"/>
        </w:rPr>
        <w:t>E</w:t>
      </w:r>
      <w:r>
        <w:rPr>
          <w:rFonts w:ascii="Aptos" w:hAnsi="Aptos" w:eastAsia="Aptos"/>
          <w:b w:val="0"/>
          <w:i w:val="0"/>
          <w:color w:val="000000"/>
          <w:sz w:val="20"/>
        </w:rPr>
        <w:t>PARTICIPAÇÃO</w:t>
      </w:r>
      <w:r>
        <w:rPr>
          <w:rFonts w:ascii="Aptos" w:hAnsi="Aptos" w:eastAsia="Aptos"/>
          <w:b w:val="0"/>
          <w:i w:val="0"/>
          <w:color w:val="000000"/>
          <w:sz w:val="20"/>
        </w:rPr>
        <w:t xml:space="preserve">SOCIAL ..................................................... 23 </w:t>
      </w:r>
      <w:r>
        <w:tab/>
      </w:r>
      <w:r>
        <w:rPr>
          <w:rFonts w:ascii="Aptos" w:hAnsi="Aptos" w:eastAsia="Aptos"/>
          <w:b w:val="0"/>
          <w:i/>
          <w:color w:val="000000"/>
          <w:sz w:val="20"/>
        </w:rPr>
        <w:t xml:space="preserve">5.1. Implementação das Diretrizes da Política Nacional de Linguagem Simples ........................... 23 </w:t>
      </w:r>
      <w:r>
        <w:tab/>
      </w:r>
      <w:r>
        <w:rPr>
          <w:rFonts w:ascii="Aptos" w:hAnsi="Aptos" w:eastAsia="Aptos"/>
          <w:b w:val="0"/>
          <w:i/>
          <w:color w:val="000000"/>
          <w:sz w:val="20"/>
        </w:rPr>
        <w:t xml:space="preserve">5.2. Pesquisa de Satisfação 2026 ............................................................................................... 24 </w:t>
      </w:r>
      <w:r>
        <w:tab/>
      </w:r>
      <w:r>
        <w:rPr>
          <w:rFonts w:ascii="Aptos" w:hAnsi="Aptos" w:eastAsia="Aptos"/>
          <w:b w:val="0"/>
          <w:i/>
          <w:color w:val="000000"/>
          <w:sz w:val="20"/>
        </w:rPr>
        <w:t>5.3. Aprimoramento da Resolução ARES-PCJ nº 49/2014 ............................................................ 24</w:t>
      </w:r>
    </w:p>
    <w:p>
      <w:pPr>
        <w:autoSpaceDN w:val="0"/>
        <w:tabs>
          <w:tab w:pos="468" w:val="left"/>
        </w:tabs>
        <w:autoSpaceDE w:val="0"/>
        <w:widowControl/>
        <w:spacing w:line="228" w:lineRule="auto" w:before="140" w:after="0"/>
        <w:ind w:left="28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0"/>
        </w:rPr>
        <w:t xml:space="preserve">5. </w:t>
      </w:r>
      <w:r>
        <w:tab/>
      </w:r>
      <w:r>
        <w:rPr>
          <w:rFonts w:ascii="Aptos" w:hAnsi="Aptos" w:eastAsia="Aptos"/>
          <w:b/>
          <w:i w:val="0"/>
          <w:color w:val="000000"/>
          <w:sz w:val="20"/>
        </w:rPr>
        <w:t>CRONOGRAMA PREVISTO ................................................................................................... 25</w:t>
      </w:r>
    </w:p>
    <w:p>
      <w:pPr>
        <w:autoSpaceDN w:val="0"/>
        <w:tabs>
          <w:tab w:pos="8678" w:val="left"/>
        </w:tabs>
        <w:autoSpaceDE w:val="0"/>
        <w:widowControl/>
        <w:spacing w:line="197" w:lineRule="auto" w:before="828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688 – 18/02/2026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5</w:t>
      </w:r>
    </w:p>
    <w:p>
      <w:pPr>
        <w:sectPr>
          <w:pgSz w:w="11906" w:h="16838"/>
          <w:pgMar w:top="244" w:right="1388" w:bottom="50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-184150</wp:posOffset>
            </wp:positionH>
            <wp:positionV relativeFrom="page">
              <wp:posOffset>9625330</wp:posOffset>
            </wp:positionV>
            <wp:extent cx="7736840" cy="1079134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107913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2622550</wp:posOffset>
            </wp:positionH>
            <wp:positionV relativeFrom="page">
              <wp:posOffset>311150</wp:posOffset>
            </wp:positionV>
            <wp:extent cx="2495550" cy="55118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5511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8" w:lineRule="auto" w:before="344" w:after="0"/>
        <w:ind w:left="0" w:right="0" w:firstLine="0"/>
        <w:jc w:val="center"/>
      </w:pPr>
      <w:r>
        <w:rPr>
          <w:rFonts w:ascii="Aptos" w:hAnsi="Aptos" w:eastAsia="Aptos"/>
          <w:b/>
          <w:i w:val="0"/>
          <w:color w:val="000000"/>
          <w:sz w:val="32"/>
        </w:rPr>
        <w:t xml:space="preserve">APRESENTAÇÃO </w:t>
      </w:r>
    </w:p>
    <w:p>
      <w:pPr>
        <w:autoSpaceDN w:val="0"/>
        <w:autoSpaceDE w:val="0"/>
        <w:widowControl/>
        <w:spacing w:line="245" w:lineRule="auto" w:before="328" w:after="0"/>
        <w:ind w:left="28" w:right="22" w:firstLine="0"/>
        <w:jc w:val="both"/>
      </w:pPr>
      <w:r>
        <w:rPr>
          <w:rFonts w:ascii="Aptos" w:hAnsi="Aptos" w:eastAsia="Aptos"/>
          <w:b w:val="0"/>
          <w:i w:val="0"/>
          <w:color w:val="000000"/>
          <w:sz w:val="23"/>
        </w:rPr>
        <w:t xml:space="preserve">A Agenda Regulatória da ARES-PCJ para o biênio 2026–2027 constitui o principal instrumento </w:t>
      </w:r>
      <w:r>
        <w:rPr>
          <w:rFonts w:ascii="Aptos" w:hAnsi="Aptos" w:eastAsia="Aptos"/>
          <w:b w:val="0"/>
          <w:i w:val="0"/>
          <w:color w:val="000000"/>
          <w:sz w:val="23"/>
        </w:rPr>
        <w:t xml:space="preserve">de planejamento das ações normativas, fiscalizatórias e institucionais da Agência, orientando </w:t>
      </w:r>
      <w:r>
        <w:rPr>
          <w:rFonts w:ascii="Aptos" w:hAnsi="Aptos" w:eastAsia="Aptos"/>
          <w:b w:val="0"/>
          <w:i w:val="0"/>
          <w:color w:val="000000"/>
          <w:sz w:val="23"/>
        </w:rPr>
        <w:t xml:space="preserve">a atuação regulatória de forma estruturada, previsível e transparente. </w:t>
      </w:r>
    </w:p>
    <w:p>
      <w:pPr>
        <w:autoSpaceDN w:val="0"/>
        <w:autoSpaceDE w:val="0"/>
        <w:widowControl/>
        <w:spacing w:line="245" w:lineRule="auto" w:before="562" w:after="0"/>
        <w:ind w:left="28" w:right="22" w:firstLine="0"/>
        <w:jc w:val="both"/>
      </w:pPr>
      <w:r>
        <w:rPr>
          <w:rFonts w:ascii="Aptos" w:hAnsi="Aptos" w:eastAsia="Aptos"/>
          <w:b w:val="0"/>
          <w:i w:val="0"/>
          <w:color w:val="000000"/>
          <w:sz w:val="23"/>
        </w:rPr>
        <w:t xml:space="preserve">Por meio da Agenda Regulatória, a ARES-PCJ explicita à sociedade, aos municípios regulados, </w:t>
      </w:r>
      <w:r>
        <w:rPr>
          <w:rFonts w:ascii="Aptos" w:hAnsi="Aptos" w:eastAsia="Aptos"/>
          <w:b w:val="0"/>
          <w:i w:val="0"/>
          <w:color w:val="000000"/>
          <w:sz w:val="23"/>
        </w:rPr>
        <w:t xml:space="preserve">aos prestadores de serviços e aos órgãos de controle as prioridades regulatórias que pretende </w:t>
      </w:r>
      <w:r>
        <w:rPr>
          <w:rFonts w:ascii="Aptos" w:hAnsi="Aptos" w:eastAsia="Aptos"/>
          <w:b w:val="0"/>
          <w:i w:val="0"/>
          <w:color w:val="000000"/>
          <w:sz w:val="23"/>
        </w:rPr>
        <w:t xml:space="preserve">desenvolver no período, promovendo maior segurança jurídica, racionalidade decisória e </w:t>
      </w:r>
      <w:r>
        <w:rPr>
          <w:rFonts w:ascii="Aptos" w:hAnsi="Aptos" w:eastAsia="Aptos"/>
          <w:b w:val="0"/>
          <w:i w:val="0"/>
          <w:color w:val="000000"/>
          <w:sz w:val="23"/>
        </w:rPr>
        <w:t xml:space="preserve">alinhamento às diretrizes nacionais do setor de saneamento básico. </w:t>
      </w:r>
    </w:p>
    <w:p>
      <w:pPr>
        <w:autoSpaceDN w:val="0"/>
        <w:autoSpaceDE w:val="0"/>
        <w:widowControl/>
        <w:spacing w:line="245" w:lineRule="auto" w:before="560" w:after="0"/>
        <w:ind w:left="28" w:right="20" w:firstLine="0"/>
        <w:jc w:val="both"/>
      </w:pPr>
      <w:r>
        <w:rPr>
          <w:rFonts w:ascii="Aptos" w:hAnsi="Aptos" w:eastAsia="Aptos"/>
          <w:b w:val="0"/>
          <w:i w:val="0"/>
          <w:color w:val="000000"/>
          <w:sz w:val="23"/>
        </w:rPr>
        <w:t xml:space="preserve">A presente Agenda foi elaborada em consonância com as boas práticas de governança </w:t>
      </w:r>
      <w:r>
        <w:rPr>
          <w:rFonts w:ascii="Aptos" w:hAnsi="Aptos" w:eastAsia="Aptos"/>
          <w:b w:val="0"/>
          <w:i w:val="0"/>
          <w:color w:val="000000"/>
          <w:sz w:val="23"/>
        </w:rPr>
        <w:t xml:space="preserve">regulatória, em especial aquelas preconizadas pela Norma de Referência nº 04/2024 da </w:t>
      </w:r>
      <w:r>
        <w:rPr>
          <w:rFonts w:ascii="Aptos" w:hAnsi="Aptos" w:eastAsia="Aptos"/>
          <w:b w:val="0"/>
          <w:i w:val="0"/>
          <w:color w:val="000000"/>
          <w:sz w:val="23"/>
        </w:rPr>
        <w:t xml:space="preserve">Agência Nacional de Águas e Saneamento Básico – ANA, e reflete tanto a avaliação do ciclo </w:t>
      </w:r>
      <w:r>
        <w:rPr>
          <w:rFonts w:ascii="Aptos" w:hAnsi="Aptos" w:eastAsia="Aptos"/>
          <w:b w:val="0"/>
          <w:i w:val="0"/>
          <w:color w:val="000000"/>
          <w:sz w:val="23"/>
        </w:rPr>
        <w:t xml:space="preserve">regulatório anterior quanto os desafios emergentes do setor no contexto regional de atuação da </w:t>
      </w:r>
      <w:r>
        <w:rPr>
          <w:rFonts w:ascii="Aptos" w:hAnsi="Aptos" w:eastAsia="Aptos"/>
          <w:b w:val="0"/>
          <w:i w:val="0"/>
          <w:color w:val="000000"/>
          <w:sz w:val="23"/>
        </w:rPr>
        <w:t xml:space="preserve">ARES-PCJ. </w:t>
      </w:r>
    </w:p>
    <w:p>
      <w:pPr>
        <w:autoSpaceDN w:val="0"/>
        <w:tabs>
          <w:tab w:pos="8678" w:val="left"/>
        </w:tabs>
        <w:autoSpaceDE w:val="0"/>
        <w:widowControl/>
        <w:spacing w:line="197" w:lineRule="auto" w:before="8726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688 – 18/02/2026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6</w:t>
      </w:r>
    </w:p>
    <w:p>
      <w:pPr>
        <w:sectPr>
          <w:pgSz w:w="11906" w:h="16838"/>
          <w:pgMar w:top="244" w:right="1066" w:bottom="500" w:left="13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-184150</wp:posOffset>
            </wp:positionH>
            <wp:positionV relativeFrom="page">
              <wp:posOffset>9625330</wp:posOffset>
            </wp:positionV>
            <wp:extent cx="7736840" cy="1079134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107913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2622550</wp:posOffset>
            </wp:positionH>
            <wp:positionV relativeFrom="page">
              <wp:posOffset>311150</wp:posOffset>
            </wp:positionV>
            <wp:extent cx="2495550" cy="55118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5511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84" w:val="left"/>
        </w:tabs>
        <w:autoSpaceDE w:val="0"/>
        <w:widowControl/>
        <w:spacing w:line="336" w:lineRule="auto" w:before="344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>1.</w:t>
      </w:r>
      <w:r>
        <w:rPr>
          <w:rFonts w:ascii="Aptos" w:hAnsi="Aptos" w:eastAsia="Aptos"/>
          <w:b/>
          <w:i w:val="0"/>
          <w:color w:val="000000"/>
          <w:sz w:val="24"/>
        </w:rPr>
        <w:t xml:space="preserve">AGENDA REGULATÓRIA EM NÚMEROS </w:t>
      </w:r>
      <w:r>
        <w:br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A Agenda Regulatória ARES-PCJ 2026–2027 contempla: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ptos" w:hAnsi="Aptos" w:eastAsia="Aptos"/>
          <w:b/>
          <w:i w:val="0"/>
          <w:color w:val="000000"/>
          <w:sz w:val="22"/>
        </w:rPr>
        <w:t>5 eixos temáticos estruturantes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ptos" w:hAnsi="Aptos" w:eastAsia="Aptos"/>
          <w:b/>
          <w:i w:val="0"/>
          <w:color w:val="000000"/>
          <w:sz w:val="22"/>
        </w:rPr>
        <w:t>28 projetos regulatórios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, distribuídos ao longo do biênio;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ptos" w:hAnsi="Aptos" w:eastAsia="Aptos"/>
          <w:b/>
          <w:i w:val="0"/>
          <w:color w:val="000000"/>
          <w:sz w:val="22"/>
        </w:rPr>
        <w:t>4 dimensões dos serviços públicos de saneamento básico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, envolvendo abastecimento de 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água, esgotamento sanitário, manejo de resíduos sólidos urbanos e drenagem e manejo de 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águas pluviais urbanas;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ptos" w:hAnsi="Aptos" w:eastAsia="Aptos"/>
          <w:b/>
          <w:i w:val="0"/>
          <w:color w:val="000000"/>
          <w:sz w:val="22"/>
        </w:rPr>
        <w:t>7 Iniciativas de Aderência às Normas de Referência da ANA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, com projetos específicos 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voltados à sua adoção e implementação; </w:t>
      </w:r>
      <w:r>
        <w:br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Esse conjunto evidencia o compromisso da Agência com uma atuação planejada, coerente e 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orientada por resultados regulatórios. </w:t>
      </w:r>
    </w:p>
    <w:p>
      <w:pPr>
        <w:autoSpaceDN w:val="0"/>
        <w:autoSpaceDE w:val="0"/>
        <w:widowControl/>
        <w:spacing w:line="302" w:lineRule="auto" w:before="240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>2.</w:t>
      </w:r>
      <w:r>
        <w:rPr>
          <w:rFonts w:ascii="Aptos" w:hAnsi="Aptos" w:eastAsia="Aptos"/>
          <w:b/>
          <w:i w:val="0"/>
          <w:color w:val="000000"/>
          <w:sz w:val="22"/>
        </w:rPr>
        <w:t xml:space="preserve">ORGANIZAÇÃO TEMÁTICA DA AGENDA REGULATÓRIA </w:t>
      </w:r>
      <w:r>
        <w:br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Os projetos da Agenda Regulatória estão organizados em cinco eixos temáticos, concebidos para 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refletir as principais frentes de atuação da ARES-PCJ e facilitar a compreensão do escopo 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regulatório do biênio: </w:t>
      </w:r>
      <w:r>
        <w:br/>
      </w:r>
      <w:r>
        <w:rPr>
          <w:rFonts w:ascii="Aptos" w:hAnsi="Aptos" w:eastAsia="Aptos"/>
          <w:b/>
          <w:i w:val="0"/>
          <w:color w:val="000000"/>
          <w:sz w:val="22"/>
        </w:rPr>
        <w:t xml:space="preserve">Eixo 1 — Regulação Econômico-Financeira, Tarifária e Contratual </w:t>
      </w:r>
      <w:r>
        <w:br/>
      </w:r>
      <w:r>
        <w:rPr>
          <w:rFonts w:ascii="Aptos" w:hAnsi="Aptos" w:eastAsia="Aptos"/>
          <w:b w:val="0"/>
          <w:i w:val="0"/>
          <w:color w:val="000000"/>
          <w:sz w:val="22"/>
        </w:rPr>
        <w:t>Abrange projetos voltados à regulação de tarifas, preços públicos, reequilíbrio econômico-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financeiro e instrumentos contratuais, com atenção especial à modicidade tarifária e à 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sustentabilidade dos serviços. </w:t>
      </w:r>
    </w:p>
    <w:p>
      <w:pPr>
        <w:autoSpaceDN w:val="0"/>
        <w:autoSpaceDE w:val="0"/>
        <w:widowControl/>
        <w:spacing w:line="295" w:lineRule="auto" w:before="238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Eixo 2 — Planejamento Setorial, Universalização e Segurança Hídrica </w:t>
      </w:r>
      <w:r>
        <w:br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Reúne iniciativas relacionadas ao planejamento municipal, à universalização dos serviços, à gestão 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de riscos de escassez hídrica e à incorporação de soluções inovadoras, como o reúso de água. </w:t>
      </w:r>
    </w:p>
    <w:p>
      <w:pPr>
        <w:autoSpaceDN w:val="0"/>
        <w:autoSpaceDE w:val="0"/>
        <w:widowControl/>
        <w:spacing w:line="278" w:lineRule="auto" w:before="238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Eixo 3 — Fiscalização, Qualidade dos Serviços e Eficiência Operacional </w:t>
      </w:r>
      <w:r>
        <w:br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Contempla projetos destinados ao aprimoramento dos procedimentos de fiscalização, ao 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monitoramento de indicadores operacionais e à promoção de eficiência e boas práticas na 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prestação dos serviços. </w:t>
      </w:r>
    </w:p>
    <w:p>
      <w:pPr>
        <w:autoSpaceDN w:val="0"/>
        <w:autoSpaceDE w:val="0"/>
        <w:widowControl/>
        <w:spacing w:line="278" w:lineRule="auto" w:before="238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Eixo 4 — Governança, Qualidade Regulatória e Gestão da Informação </w:t>
      </w:r>
      <w:r>
        <w:br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Foca o fortalecimento institucional da Agência, a adoção de instrumentos de qualidade regulatória 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e a organização do estoque normativo, ampliando a transparência e a acessibilidade da informação 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regulatória. </w:t>
      </w:r>
    </w:p>
    <w:p>
      <w:pPr>
        <w:autoSpaceDN w:val="0"/>
        <w:autoSpaceDE w:val="0"/>
        <w:widowControl/>
        <w:spacing w:line="295" w:lineRule="auto" w:before="240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Eixo 5 — Usuários, Comunicação e Participação Social </w:t>
      </w:r>
      <w:r>
        <w:br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Dedica-se ao aprimoramento dos canais de relacionamento com os usuários, à implementação da 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linguagem simples e ao fortalecimento dos mecanismos de participação social. </w:t>
      </w:r>
    </w:p>
    <w:p>
      <w:pPr>
        <w:autoSpaceDN w:val="0"/>
        <w:tabs>
          <w:tab w:pos="8650" w:val="left"/>
        </w:tabs>
        <w:autoSpaceDE w:val="0"/>
        <w:widowControl/>
        <w:spacing w:line="197" w:lineRule="auto" w:before="7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688 – 18/02/2026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7</w:t>
      </w:r>
    </w:p>
    <w:p>
      <w:pPr>
        <w:sectPr>
          <w:pgSz w:w="11906" w:h="16838"/>
          <w:pgMar w:top="244" w:right="1070" w:bottom="50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-184150</wp:posOffset>
            </wp:positionH>
            <wp:positionV relativeFrom="page">
              <wp:posOffset>9625330</wp:posOffset>
            </wp:positionV>
            <wp:extent cx="7736840" cy="1079134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107913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34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2622550</wp:posOffset>
            </wp:positionH>
            <wp:positionV relativeFrom="page">
              <wp:posOffset>311150</wp:posOffset>
            </wp:positionV>
            <wp:extent cx="2495550" cy="55118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5511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138"/>
        <w:gridCol w:w="3138"/>
        <w:gridCol w:w="3138"/>
      </w:tblGrid>
      <w:tr>
        <w:trPr>
          <w:trHeight w:hRule="exact" w:val="310"/>
        </w:trPr>
        <w:tc>
          <w:tcPr>
            <w:tcW w:type="dxa" w:w="2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22"/>
              </w:rPr>
              <w:t xml:space="preserve">Eixo Temático </w:t>
            </w:r>
          </w:p>
        </w:tc>
        <w:tc>
          <w:tcPr>
            <w:tcW w:type="dxa" w:w="1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22"/>
              </w:rPr>
              <w:t xml:space="preserve">Código </w:t>
            </w:r>
          </w:p>
        </w:tc>
        <w:tc>
          <w:tcPr>
            <w:tcW w:type="dxa" w:w="53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22"/>
              </w:rPr>
              <w:t xml:space="preserve">Projetos Abrangidos </w:t>
            </w:r>
          </w:p>
        </w:tc>
      </w:tr>
      <w:tr>
        <w:trPr>
          <w:trHeight w:hRule="exact" w:val="310"/>
        </w:trPr>
        <w:tc>
          <w:tcPr>
            <w:tcW w:type="dxa" w:w="293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60" w:after="0"/>
              <w:ind w:left="288" w:right="144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Eixo 1 — Regulação </w:t>
            </w:r>
            <w:r>
              <w:br/>
            </w: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Econômico-Financeira, </w:t>
            </w: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Tarifária e Contratual </w:t>
            </w:r>
          </w:p>
        </w:tc>
        <w:tc>
          <w:tcPr>
            <w:tcW w:type="dxa" w:w="103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8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1.1 </w:t>
            </w:r>
          </w:p>
        </w:tc>
        <w:tc>
          <w:tcPr>
            <w:tcW w:type="dxa" w:w="538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8" w:after="0"/>
              <w:ind w:left="6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Adoção da NR ANA nº 06/2024 </w:t>
            </w:r>
          </w:p>
        </w:tc>
      </w:tr>
      <w:tr>
        <w:trPr>
          <w:trHeight w:hRule="exact" w:val="310"/>
        </w:trPr>
        <w:tc>
          <w:tcPr>
            <w:tcW w:type="dxa" w:w="313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6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1.2 </w:t>
            </w:r>
          </w:p>
        </w:tc>
        <w:tc>
          <w:tcPr>
            <w:tcW w:type="dxa" w:w="538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32" w:after="0"/>
              <w:ind w:left="6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Adoção da NR ANA nº 10/2024 </w:t>
            </w:r>
          </w:p>
        </w:tc>
      </w:tr>
      <w:tr>
        <w:trPr>
          <w:trHeight w:hRule="exact" w:val="308"/>
        </w:trPr>
        <w:tc>
          <w:tcPr>
            <w:tcW w:type="dxa" w:w="313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4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1.3 </w:t>
            </w:r>
          </w:p>
        </w:tc>
        <w:tc>
          <w:tcPr>
            <w:tcW w:type="dxa" w:w="53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6" w:after="0"/>
              <w:ind w:left="6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Adoção da NR ANA nº 13/2025 </w:t>
            </w:r>
          </w:p>
        </w:tc>
      </w:tr>
      <w:tr>
        <w:trPr>
          <w:trHeight w:hRule="exact" w:val="312"/>
        </w:trPr>
        <w:tc>
          <w:tcPr>
            <w:tcW w:type="dxa" w:w="313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8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1.4 </w:t>
            </w:r>
          </w:p>
        </w:tc>
        <w:tc>
          <w:tcPr>
            <w:tcW w:type="dxa" w:w="53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34" w:after="0"/>
              <w:ind w:left="6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Revisão da Resolução ARES-PCJ nº 303/2019 </w:t>
            </w:r>
          </w:p>
        </w:tc>
      </w:tr>
      <w:tr>
        <w:trPr>
          <w:trHeight w:hRule="exact" w:val="310"/>
        </w:trPr>
        <w:tc>
          <w:tcPr>
            <w:tcW w:type="dxa" w:w="313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4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1.5 </w:t>
            </w:r>
          </w:p>
        </w:tc>
        <w:tc>
          <w:tcPr>
            <w:tcW w:type="dxa" w:w="53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30" w:after="0"/>
              <w:ind w:left="6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Revisão da Resolução ARES-PCJ nº 423/2022 </w:t>
            </w:r>
          </w:p>
        </w:tc>
      </w:tr>
      <w:tr>
        <w:trPr>
          <w:trHeight w:hRule="exact" w:val="310"/>
        </w:trPr>
        <w:tc>
          <w:tcPr>
            <w:tcW w:type="dxa" w:w="313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1.6 </w:t>
            </w:r>
          </w:p>
        </w:tc>
        <w:tc>
          <w:tcPr>
            <w:tcW w:type="dxa" w:w="53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30" w:after="0"/>
              <w:ind w:left="6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Revisão da Resolução ARES-PCJ nº 94/2015 </w:t>
            </w:r>
          </w:p>
        </w:tc>
      </w:tr>
      <w:tr>
        <w:trPr>
          <w:trHeight w:hRule="exact" w:val="310"/>
        </w:trPr>
        <w:tc>
          <w:tcPr>
            <w:tcW w:type="dxa" w:w="313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3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1.7 </w:t>
            </w:r>
          </w:p>
        </w:tc>
        <w:tc>
          <w:tcPr>
            <w:tcW w:type="dxa" w:w="538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30" w:after="0"/>
              <w:ind w:left="6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Reforma Tributária </w:t>
            </w:r>
          </w:p>
        </w:tc>
      </w:tr>
      <w:tr>
        <w:trPr>
          <w:trHeight w:hRule="exact" w:val="310"/>
        </w:trPr>
        <w:tc>
          <w:tcPr>
            <w:tcW w:type="dxa" w:w="313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6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1.8 </w:t>
            </w:r>
          </w:p>
        </w:tc>
        <w:tc>
          <w:tcPr>
            <w:tcW w:type="dxa" w:w="538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32" w:after="0"/>
              <w:ind w:left="6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Sustentabilidade Econômico-Financeira dos SMRSU </w:t>
            </w:r>
          </w:p>
        </w:tc>
      </w:tr>
      <w:tr>
        <w:trPr>
          <w:trHeight w:hRule="exact" w:val="548"/>
        </w:trPr>
        <w:tc>
          <w:tcPr>
            <w:tcW w:type="dxa" w:w="313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1.9 </w:t>
            </w:r>
          </w:p>
        </w:tc>
        <w:tc>
          <w:tcPr>
            <w:tcW w:type="dxa" w:w="53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6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Regulação Econômica de Soluções Alternativas de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Água e Esgoto </w:t>
            </w:r>
          </w:p>
        </w:tc>
      </w:tr>
      <w:tr>
        <w:trPr>
          <w:trHeight w:hRule="exact" w:val="308"/>
        </w:trPr>
        <w:tc>
          <w:tcPr>
            <w:tcW w:type="dxa" w:w="313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6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1.10 </w:t>
            </w:r>
          </w:p>
        </w:tc>
        <w:tc>
          <w:tcPr>
            <w:tcW w:type="dxa" w:w="53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30" w:after="0"/>
              <w:ind w:left="6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Aprimoramentos à Resolução ARES-PCJ nº 592/2024 </w:t>
            </w:r>
          </w:p>
        </w:tc>
      </w:tr>
      <w:tr>
        <w:trPr>
          <w:trHeight w:hRule="exact" w:val="312"/>
        </w:trPr>
        <w:tc>
          <w:tcPr>
            <w:tcW w:type="dxa" w:w="293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4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Eixo 2 — Planejamento </w:t>
            </w:r>
            <w:r>
              <w:br/>
            </w: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Setorial, Universalização e </w:t>
            </w: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Segurança Hídrica </w:t>
            </w:r>
          </w:p>
        </w:tc>
        <w:tc>
          <w:tcPr>
            <w:tcW w:type="dxa" w:w="1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6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2.1 </w:t>
            </w:r>
          </w:p>
        </w:tc>
        <w:tc>
          <w:tcPr>
            <w:tcW w:type="dxa" w:w="53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6" w:after="0"/>
              <w:ind w:left="6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Conteúdo Mínimo dos PMSBs </w:t>
            </w:r>
          </w:p>
        </w:tc>
      </w:tr>
      <w:tr>
        <w:trPr>
          <w:trHeight w:hRule="exact" w:val="548"/>
        </w:trPr>
        <w:tc>
          <w:tcPr>
            <w:tcW w:type="dxa" w:w="313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36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2.2 </w:t>
            </w:r>
          </w:p>
        </w:tc>
        <w:tc>
          <w:tcPr>
            <w:tcW w:type="dxa" w:w="53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6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Procedimentos Regulatórios para Escassez Hídrica e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Desabastecimento </w:t>
            </w:r>
          </w:p>
        </w:tc>
      </w:tr>
      <w:tr>
        <w:trPr>
          <w:trHeight w:hRule="exact" w:val="310"/>
        </w:trPr>
        <w:tc>
          <w:tcPr>
            <w:tcW w:type="dxa" w:w="313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3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2.3 </w:t>
            </w:r>
          </w:p>
        </w:tc>
        <w:tc>
          <w:tcPr>
            <w:tcW w:type="dxa" w:w="538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30" w:after="0"/>
              <w:ind w:left="6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Adoção da NR ANA nº 15/2025 </w:t>
            </w:r>
          </w:p>
        </w:tc>
      </w:tr>
      <w:tr>
        <w:trPr>
          <w:trHeight w:hRule="exact" w:val="546"/>
        </w:trPr>
        <w:tc>
          <w:tcPr>
            <w:tcW w:type="dxa" w:w="313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3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4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2.4 </w:t>
            </w:r>
          </w:p>
        </w:tc>
        <w:tc>
          <w:tcPr>
            <w:tcW w:type="dxa" w:w="538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6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Estruturação dos Serviços de Drenagem e Manejo de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Águas Pluviais Urbanas </w:t>
            </w:r>
          </w:p>
        </w:tc>
      </w:tr>
      <w:tr>
        <w:trPr>
          <w:trHeight w:hRule="exact" w:val="310"/>
        </w:trPr>
        <w:tc>
          <w:tcPr>
            <w:tcW w:type="dxa" w:w="313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2.5 </w:t>
            </w:r>
          </w:p>
        </w:tc>
        <w:tc>
          <w:tcPr>
            <w:tcW w:type="dxa" w:w="53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30" w:after="0"/>
              <w:ind w:left="6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Regulamentação e Incentivo à Água de Reuso </w:t>
            </w:r>
          </w:p>
        </w:tc>
      </w:tr>
      <w:tr>
        <w:trPr>
          <w:trHeight w:hRule="exact" w:val="310"/>
        </w:trPr>
        <w:tc>
          <w:tcPr>
            <w:tcW w:type="dxa" w:w="293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68" w:after="0"/>
              <w:ind w:left="144" w:right="144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Eixo 3 — Fiscalização, </w:t>
            </w:r>
            <w:r>
              <w:br/>
            </w: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Qualidade dos Serviços e </w:t>
            </w: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Eficiência Operacional </w:t>
            </w:r>
          </w:p>
        </w:tc>
        <w:tc>
          <w:tcPr>
            <w:tcW w:type="dxa" w:w="103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4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3.1 </w:t>
            </w:r>
          </w:p>
        </w:tc>
        <w:tc>
          <w:tcPr>
            <w:tcW w:type="dxa" w:w="538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4" w:after="0"/>
              <w:ind w:left="6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Fiscalização Evolutiva </w:t>
            </w:r>
          </w:p>
        </w:tc>
      </w:tr>
      <w:tr>
        <w:trPr>
          <w:trHeight w:hRule="exact" w:val="310"/>
        </w:trPr>
        <w:tc>
          <w:tcPr>
            <w:tcW w:type="dxa" w:w="313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3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6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3.2 </w:t>
            </w:r>
          </w:p>
        </w:tc>
        <w:tc>
          <w:tcPr>
            <w:tcW w:type="dxa" w:w="538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32" w:after="0"/>
              <w:ind w:left="6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Manual de Fiscalização (Água e Esgoto) </w:t>
            </w:r>
          </w:p>
        </w:tc>
      </w:tr>
      <w:tr>
        <w:trPr>
          <w:trHeight w:hRule="exact" w:val="310"/>
        </w:trPr>
        <w:tc>
          <w:tcPr>
            <w:tcW w:type="dxa" w:w="313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6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3.3 </w:t>
            </w:r>
          </w:p>
        </w:tc>
        <w:tc>
          <w:tcPr>
            <w:tcW w:type="dxa" w:w="53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32" w:after="0"/>
              <w:ind w:left="6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Manual de Fiscalização (Resíduos Sólidos) </w:t>
            </w:r>
          </w:p>
        </w:tc>
      </w:tr>
      <w:tr>
        <w:trPr>
          <w:trHeight w:hRule="exact" w:val="310"/>
        </w:trPr>
        <w:tc>
          <w:tcPr>
            <w:tcW w:type="dxa" w:w="313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6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3.4 </w:t>
            </w:r>
          </w:p>
        </w:tc>
        <w:tc>
          <w:tcPr>
            <w:tcW w:type="dxa" w:w="53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30" w:after="0"/>
              <w:ind w:left="6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Manual de Avaliação de Investimentos </w:t>
            </w:r>
          </w:p>
        </w:tc>
      </w:tr>
      <w:tr>
        <w:trPr>
          <w:trHeight w:hRule="exact" w:val="310"/>
        </w:trPr>
        <w:tc>
          <w:tcPr>
            <w:tcW w:type="dxa" w:w="313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6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3.5 </w:t>
            </w:r>
          </w:p>
        </w:tc>
        <w:tc>
          <w:tcPr>
            <w:tcW w:type="dxa" w:w="53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30" w:after="0"/>
              <w:ind w:left="6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Metodologia ACERTAR </w:t>
            </w:r>
          </w:p>
        </w:tc>
      </w:tr>
      <w:tr>
        <w:trPr>
          <w:trHeight w:hRule="exact" w:val="310"/>
        </w:trPr>
        <w:tc>
          <w:tcPr>
            <w:tcW w:type="dxa" w:w="313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6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3.6 </w:t>
            </w:r>
          </w:p>
        </w:tc>
        <w:tc>
          <w:tcPr>
            <w:tcW w:type="dxa" w:w="53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30" w:after="0"/>
              <w:ind w:left="6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Adoção da NR ANA nº 09/2024 </w:t>
            </w:r>
          </w:p>
        </w:tc>
      </w:tr>
      <w:tr>
        <w:trPr>
          <w:trHeight w:hRule="exact" w:val="550"/>
        </w:trPr>
        <w:tc>
          <w:tcPr>
            <w:tcW w:type="dxa" w:w="313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36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3.7 </w:t>
            </w:r>
          </w:p>
        </w:tc>
        <w:tc>
          <w:tcPr>
            <w:tcW w:type="dxa" w:w="53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6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Adoção da NR ANA nº 11/2024 e aprimoramentos à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Resolução 50/2014 </w:t>
            </w:r>
          </w:p>
        </w:tc>
      </w:tr>
      <w:tr>
        <w:trPr>
          <w:trHeight w:hRule="exact" w:val="544"/>
        </w:trPr>
        <w:tc>
          <w:tcPr>
            <w:tcW w:type="dxa" w:w="313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3.8 </w:t>
            </w:r>
          </w:p>
        </w:tc>
        <w:tc>
          <w:tcPr>
            <w:tcW w:type="dxa" w:w="53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6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Condições Gerais da prestação dos serviços públicos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relacionados às soluções alternativas água e esgoto </w:t>
            </w:r>
          </w:p>
        </w:tc>
      </w:tr>
      <w:tr>
        <w:trPr>
          <w:trHeight w:hRule="exact" w:val="484"/>
        </w:trPr>
        <w:tc>
          <w:tcPr>
            <w:tcW w:type="dxa" w:w="293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6" w:after="0"/>
              <w:ind w:left="144" w:right="144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Eixo 4 — Governança, </w:t>
            </w:r>
            <w:r>
              <w:br/>
            </w: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Qualidade Regulatória e </w:t>
            </w: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Gestão da Informação </w:t>
            </w:r>
          </w:p>
        </w:tc>
        <w:tc>
          <w:tcPr>
            <w:tcW w:type="dxa" w:w="1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0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4.1 </w:t>
            </w:r>
          </w:p>
        </w:tc>
        <w:tc>
          <w:tcPr>
            <w:tcW w:type="dxa" w:w="53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00" w:after="0"/>
              <w:ind w:left="6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Qualidade Regulatória </w:t>
            </w:r>
          </w:p>
        </w:tc>
      </w:tr>
      <w:tr>
        <w:trPr>
          <w:trHeight w:hRule="exact" w:val="504"/>
        </w:trPr>
        <w:tc>
          <w:tcPr>
            <w:tcW w:type="dxa" w:w="313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12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4.2 </w:t>
            </w:r>
          </w:p>
        </w:tc>
        <w:tc>
          <w:tcPr>
            <w:tcW w:type="dxa" w:w="53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12" w:after="0"/>
              <w:ind w:left="6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Gestão do Estoque Regulatório </w:t>
            </w:r>
          </w:p>
        </w:tc>
      </w:tr>
      <w:tr>
        <w:trPr>
          <w:trHeight w:hRule="exact" w:val="716"/>
        </w:trPr>
        <w:tc>
          <w:tcPr>
            <w:tcW w:type="dxa" w:w="293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0" w:after="0"/>
              <w:ind w:left="432" w:right="432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Eixo 5 — Usuários, </w:t>
            </w: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Comunicação e </w:t>
            </w:r>
            <w:r>
              <w:br/>
            </w: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Participação Social </w:t>
            </w:r>
          </w:p>
        </w:tc>
        <w:tc>
          <w:tcPr>
            <w:tcW w:type="dxa" w:w="1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18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5.1 </w:t>
            </w:r>
          </w:p>
        </w:tc>
        <w:tc>
          <w:tcPr>
            <w:tcW w:type="dxa" w:w="53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4" w:after="0"/>
              <w:ind w:left="6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Implementação da Política Nacional de Linguagem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Simples </w:t>
            </w:r>
          </w:p>
        </w:tc>
      </w:tr>
      <w:tr>
        <w:trPr>
          <w:trHeight w:hRule="exact" w:val="308"/>
        </w:trPr>
        <w:tc>
          <w:tcPr>
            <w:tcW w:type="dxa" w:w="313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6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5.2 </w:t>
            </w:r>
          </w:p>
        </w:tc>
        <w:tc>
          <w:tcPr>
            <w:tcW w:type="dxa" w:w="53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6" w:after="0"/>
              <w:ind w:left="6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Pesquisa de Satisfação dos Usuários – 2026 </w:t>
            </w:r>
          </w:p>
        </w:tc>
      </w:tr>
      <w:tr>
        <w:trPr>
          <w:trHeight w:hRule="exact" w:val="312"/>
        </w:trPr>
        <w:tc>
          <w:tcPr>
            <w:tcW w:type="dxa" w:w="313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6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5.3 </w:t>
            </w:r>
          </w:p>
        </w:tc>
        <w:tc>
          <w:tcPr>
            <w:tcW w:type="dxa" w:w="53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6" w:after="0"/>
              <w:ind w:left="6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Aprimoramento da Resolução ARES-PCJ nº 49/2014 </w:t>
            </w:r>
          </w:p>
        </w:tc>
      </w:tr>
    </w:tbl>
    <w:p>
      <w:pPr>
        <w:autoSpaceDN w:val="0"/>
        <w:autoSpaceDE w:val="0"/>
        <w:widowControl/>
        <w:spacing w:line="228" w:lineRule="auto" w:before="464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>3.</w:t>
      </w:r>
      <w:r>
        <w:rPr>
          <w:rFonts w:ascii="Aptos" w:hAnsi="Aptos" w:eastAsia="Aptos"/>
          <w:b/>
          <w:i w:val="0"/>
          <w:color w:val="000000"/>
          <w:sz w:val="24"/>
        </w:rPr>
        <w:t xml:space="preserve">FORMA DE APRESENTAÇÃO DOS PROJETOS </w:t>
      </w:r>
    </w:p>
    <w:p>
      <w:pPr>
        <w:autoSpaceDN w:val="0"/>
        <w:autoSpaceDE w:val="0"/>
        <w:widowControl/>
        <w:spacing w:line="252" w:lineRule="auto" w:before="238" w:after="0"/>
        <w:ind w:left="0" w:right="20" w:firstLine="0"/>
        <w:jc w:val="both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Os projetos que compõem a proposta da Agenda Regulatória são apresentados por meio de fichas, 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concebidas com o objetivo de conferir transparência, clareza e comparabilidade às iniciativas, bem 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como facilitar seu acompanhamento ao longo do período de vigência do instrumento. </w:t>
      </w:r>
    </w:p>
    <w:p>
      <w:pPr>
        <w:autoSpaceDN w:val="0"/>
        <w:autoSpaceDE w:val="0"/>
        <w:widowControl/>
        <w:spacing w:line="228" w:lineRule="auto" w:before="27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Cada ficha de projeto está estruturada a partir dos seguintes campos: </w:t>
      </w:r>
    </w:p>
    <w:p>
      <w:pPr>
        <w:autoSpaceDN w:val="0"/>
        <w:tabs>
          <w:tab w:pos="8650" w:val="left"/>
        </w:tabs>
        <w:autoSpaceDE w:val="0"/>
        <w:widowControl/>
        <w:spacing w:line="197" w:lineRule="auto" w:before="5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688 – 18/02/2026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8</w:t>
      </w:r>
    </w:p>
    <w:p>
      <w:pPr>
        <w:sectPr>
          <w:pgSz w:w="11906" w:h="16838"/>
          <w:pgMar w:top="244" w:right="1074" w:bottom="50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-184150</wp:posOffset>
            </wp:positionH>
            <wp:positionV relativeFrom="page">
              <wp:posOffset>9625330</wp:posOffset>
            </wp:positionV>
            <wp:extent cx="7736840" cy="1079134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107913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2622550</wp:posOffset>
            </wp:positionH>
            <wp:positionV relativeFrom="page">
              <wp:posOffset>311150</wp:posOffset>
            </wp:positionV>
            <wp:extent cx="2495550" cy="55118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5511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8" w:lineRule="auto" w:before="344" w:after="44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3"/>
        </w:rPr>
        <w:t>QUADRO 10.</w:t>
      </w:r>
      <w:r>
        <w:rPr>
          <w:rFonts w:ascii="Aptos" w:hAnsi="Aptos" w:eastAsia="Aptos"/>
          <w:b w:val="0"/>
          <w:i w:val="0"/>
          <w:color w:val="000000"/>
          <w:sz w:val="23"/>
        </w:rPr>
        <w:t xml:space="preserve"> Composição Fichas de Projeto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09"/>
        <w:gridCol w:w="4709"/>
      </w:tblGrid>
      <w:tr>
        <w:trPr>
          <w:trHeight w:hRule="exact" w:val="276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102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22"/>
              </w:rPr>
              <w:t xml:space="preserve">Item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22"/>
              </w:rPr>
              <w:t xml:space="preserve">Descrição </w:t>
            </w:r>
          </w:p>
        </w:tc>
      </w:tr>
      <w:tr>
        <w:trPr>
          <w:trHeight w:hRule="exact" w:val="548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36" w:after="0"/>
              <w:ind w:left="102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Tema Regulatório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Eixo temático principal ao qual o projeto se vincula, permitindo sua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organização e leitura transversal no âmbito da Agenda Regulatória </w:t>
            </w:r>
          </w:p>
        </w:tc>
      </w:tr>
      <w:tr>
        <w:trPr>
          <w:trHeight w:hRule="exact" w:val="548"/>
        </w:trPr>
        <w:tc>
          <w:tcPr>
            <w:tcW w:type="dxa" w:w="28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4" w:after="0"/>
              <w:ind w:left="102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65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2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Síntese do escopo do projeto, indicando o problema regulatório ou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a oportunidade identificada </w:t>
            </w:r>
          </w:p>
        </w:tc>
      </w:tr>
      <w:tr>
        <w:trPr>
          <w:trHeight w:hRule="exact" w:val="546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4" w:after="0"/>
              <w:ind w:left="102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Natureza do Projeto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2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Classificação do tipo de iniciativa regulatória proposta, conforme,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vinculando o projeto a um ou mais produtos esperados </w:t>
            </w:r>
          </w:p>
        </w:tc>
      </w:tr>
      <w:tr>
        <w:trPr>
          <w:trHeight w:hRule="exact" w:val="816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2" w:after="0"/>
              <w:ind w:left="102" w:right="288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Objetivo(s) Estratégico(s)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Vinculado(s)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Objetivo(s) do Planejamento Estratégico da Agência diretamente </w:t>
            </w:r>
          </w:p>
          <w:p>
            <w:pPr>
              <w:autoSpaceDN w:val="0"/>
              <w:tabs>
                <w:tab w:pos="1598" w:val="left"/>
                <w:tab w:pos="2084" w:val="left"/>
                <w:tab w:pos="3074" w:val="left"/>
                <w:tab w:pos="4604" w:val="left"/>
                <w:tab w:pos="5200" w:val="left"/>
              </w:tabs>
              <w:autoSpaceDE w:val="0"/>
              <w:widowControl/>
              <w:spacing w:line="226" w:lineRule="auto" w:before="0" w:after="0"/>
              <w:ind w:left="102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relacionados </w:t>
            </w:r>
            <w:r>
              <w:tab/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ao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projeto,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evidenciando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seu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alinhamento </w:t>
            </w:r>
          </w:p>
          <w:p>
            <w:pPr>
              <w:autoSpaceDN w:val="0"/>
              <w:autoSpaceDE w:val="0"/>
              <w:widowControl/>
              <w:spacing w:line="228" w:lineRule="auto" w:before="0" w:after="0"/>
              <w:ind w:left="102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institucional </w:t>
            </w:r>
          </w:p>
        </w:tc>
      </w:tr>
      <w:tr>
        <w:trPr>
          <w:trHeight w:hRule="exact" w:val="548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36" w:after="0"/>
              <w:ind w:left="102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Previsão de Entrega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2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Indicação do período estimado para conclusão do principal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entregável do projeto </w:t>
            </w:r>
          </w:p>
        </w:tc>
      </w:tr>
    </w:tbl>
    <w:p>
      <w:pPr>
        <w:autoSpaceDN w:val="0"/>
        <w:autoSpaceDE w:val="0"/>
        <w:widowControl/>
        <w:spacing w:line="254" w:lineRule="auto" w:before="548" w:after="0"/>
        <w:ind w:left="0" w:right="20" w:firstLine="0"/>
        <w:jc w:val="both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Especificamente em relação aos campos “Tema Regulatório”, “Natureza do Projeto” e “Objetivo(s) 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Estratégico(s) Vinculado(s)”, optou-se por admitir, quando pertinente, a indicação de mais de uma 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opção associada a um mesmo projeto. Essa abordagem reconhece que uma iniciativa pode 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abranger múltiplos eixos temáticos, assumir diferentes conformações ao longo de seu 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desenvolvimento ou contribuir para mais de um objetivo estratégico institucional. </w:t>
      </w:r>
    </w:p>
    <w:p>
      <w:pPr>
        <w:autoSpaceDN w:val="0"/>
        <w:autoSpaceDE w:val="0"/>
        <w:widowControl/>
        <w:spacing w:line="257" w:lineRule="auto" w:before="276" w:after="0"/>
        <w:ind w:left="0" w:right="20" w:firstLine="0"/>
        <w:jc w:val="both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Nesses casos, ressalta-se que a ordem de apresentação das opções reflete uma hierarquia de 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prioridades. A alternativa indicada em primeiro lugar corresponde à prioridade principal de 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atendimento no âmbito do projeto, representando seu foco inicial ou seu entregável prioritário. As 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opções subsequentes indicam possíveis desdobramentos, revisões ou aprofundamentos que 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poderão ser incorporados ao longo de sua execução, a depender dos resultados alcançados, das 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contribuições recebidas no processo de participação social e das decisões institucionais tomadas 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no curso da Agenda. </w:t>
      </w:r>
    </w:p>
    <w:p>
      <w:pPr>
        <w:autoSpaceDN w:val="0"/>
        <w:autoSpaceDE w:val="0"/>
        <w:widowControl/>
        <w:spacing w:line="254" w:lineRule="auto" w:before="280" w:after="0"/>
        <w:ind w:left="0" w:right="20" w:firstLine="0"/>
        <w:jc w:val="both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Assim, por exemplo, quando um projeto apresenta, no campo Natureza do Projeto, a sequência 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“Novo Ato Normativo”, “Revisão de Ato Normativo” e “Estudos”, pretende-se sinalizar que o 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objetivo primordial é a elaboração de um novo ato regulatório, sem prejuízo de que o projeto venha 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a se desdobrar, complementarmente, em revisões normativas ou na produção de estudos técnicos 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que subsidiem sua implementação ou eventual reavaliação. </w:t>
      </w:r>
    </w:p>
    <w:p>
      <w:pPr>
        <w:autoSpaceDN w:val="0"/>
        <w:autoSpaceDE w:val="0"/>
        <w:widowControl/>
        <w:spacing w:line="245" w:lineRule="auto" w:before="278" w:after="0"/>
        <w:ind w:left="0" w:right="22" w:firstLine="0"/>
        <w:jc w:val="both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Essa lógica de priorização ordenada confere maior flexibilidade à Agenda Regulatória, ao mesmo 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tempo em que preserva a clareza quanto às intenções iniciais de cada projeto, permitindo que cada 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iniciativa adquira, ao longo do tempo, sua própria sequência de prioridades dentro dos campos </w:t>
      </w:r>
      <w:r>
        <w:rPr>
          <w:rFonts w:ascii="Aptos" w:hAnsi="Aptos" w:eastAsia="Aptos"/>
          <w:b w:val="0"/>
          <w:i w:val="0"/>
          <w:color w:val="000000"/>
          <w:sz w:val="22"/>
        </w:rPr>
        <w:t>mencionados.</w:t>
      </w:r>
    </w:p>
    <w:p>
      <w:pPr>
        <w:autoSpaceDN w:val="0"/>
        <w:tabs>
          <w:tab w:pos="8650" w:val="left"/>
        </w:tabs>
        <w:autoSpaceDE w:val="0"/>
        <w:widowControl/>
        <w:spacing w:line="197" w:lineRule="auto" w:before="27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688 – 18/02/2026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9</w:t>
      </w:r>
    </w:p>
    <w:p>
      <w:pPr>
        <w:sectPr>
          <w:pgSz w:w="11906" w:h="16838"/>
          <w:pgMar w:top="244" w:right="1070" w:bottom="50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1267460</wp:posOffset>
            </wp:positionH>
            <wp:positionV relativeFrom="page">
              <wp:posOffset>6504940</wp:posOffset>
            </wp:positionV>
            <wp:extent cx="7741920" cy="1078992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41920" cy="107899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490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4342130</wp:posOffset>
            </wp:positionH>
            <wp:positionV relativeFrom="page">
              <wp:posOffset>226060</wp:posOffset>
            </wp:positionV>
            <wp:extent cx="2494279" cy="55245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4279" cy="552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330" w:val="left"/>
        </w:tabs>
        <w:autoSpaceDE w:val="0"/>
        <w:widowControl/>
        <w:spacing w:line="322" w:lineRule="auto" w:before="302" w:after="238"/>
        <w:ind w:left="4" w:right="2736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>4.</w:t>
      </w:r>
      <w:r>
        <w:rPr>
          <w:rFonts w:ascii="Aptos" w:hAnsi="Aptos" w:eastAsia="Aptos"/>
          <w:b/>
          <w:i w:val="0"/>
          <w:color w:val="000000"/>
          <w:sz w:val="24"/>
        </w:rPr>
        <w:t xml:space="preserve">RELAÇÃO DE PROJETOS </w:t>
      </w:r>
      <w:r>
        <w:br/>
      </w:r>
      <w:r>
        <w:tab/>
      </w:r>
      <w:r>
        <w:rPr>
          <w:rFonts w:ascii="Aptos" w:hAnsi="Aptos" w:eastAsia="Aptos"/>
          <w:b/>
          <w:i w:val="0"/>
          <w:color w:val="000000"/>
          <w:sz w:val="23"/>
        </w:rPr>
        <w:t xml:space="preserve">EIXO 1 — REGULAÇÃO ECONÔMICO-FINANCEIRA, TARIFÁRIA E CONTRATUAL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7115"/>
        <w:gridCol w:w="7115"/>
      </w:tblGrid>
      <w:tr>
        <w:trPr>
          <w:trHeight w:hRule="exact" w:val="280"/>
        </w:trPr>
        <w:tc>
          <w:tcPr>
            <w:tcW w:type="dxa" w:w="396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22"/>
              </w:rPr>
              <w:t xml:space="preserve">Título Projeto </w:t>
            </w:r>
          </w:p>
        </w:tc>
        <w:tc>
          <w:tcPr>
            <w:tcW w:type="dxa" w:w="1020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22"/>
              </w:rPr>
              <w:t xml:space="preserve">1.1. Adoção da NR ANA nº 06/2024 - Modelos de Regulação Tarifária </w:t>
            </w:r>
          </w:p>
        </w:tc>
      </w:tr>
      <w:tr>
        <w:trPr>
          <w:trHeight w:hRule="exact" w:val="278"/>
        </w:trPr>
        <w:tc>
          <w:tcPr>
            <w:tcW w:type="dxa" w:w="3968"/>
            <w:vMerge w:val="restart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8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Tema Regulatório </w:t>
            </w:r>
          </w:p>
        </w:tc>
        <w:tc>
          <w:tcPr>
            <w:tcW w:type="dxa" w:w="1020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Regulação de tarifas e preços públicos (Água e Esgoto) </w:t>
            </w:r>
          </w:p>
        </w:tc>
      </w:tr>
      <w:tr>
        <w:trPr>
          <w:trHeight w:hRule="exact" w:val="280"/>
        </w:trPr>
        <w:tc>
          <w:tcPr>
            <w:tcW w:type="dxa" w:w="7115"/>
            <w:vMerge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0208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Regulação contratual </w:t>
            </w:r>
          </w:p>
        </w:tc>
      </w:tr>
      <w:tr>
        <w:trPr>
          <w:trHeight w:hRule="exact" w:val="1084"/>
        </w:trPr>
        <w:tc>
          <w:tcPr>
            <w:tcW w:type="dxa" w:w="396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402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020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O projeto visa promover a plena adoção das diretrizes sobre modelos de regulação tarifária previstos na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Norma de Referência ANA nº 06/2024, avaliando os critérios para sua aplicação aos serviços regulados.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Busca-se assegurar coerência metodológica, previsibilidade regulatória e alinhamento às boas práticas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nacionais de regulação econômica. </w:t>
            </w:r>
          </w:p>
        </w:tc>
      </w:tr>
      <w:tr>
        <w:trPr>
          <w:trHeight w:hRule="exact" w:val="278"/>
        </w:trPr>
        <w:tc>
          <w:tcPr>
            <w:tcW w:type="dxa" w:w="3968"/>
            <w:vMerge w:val="restart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418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Natureza do Projeto </w:t>
            </w:r>
          </w:p>
        </w:tc>
        <w:tc>
          <w:tcPr>
            <w:tcW w:type="dxa" w:w="10208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Revisão de Ato Normativo </w:t>
            </w:r>
          </w:p>
        </w:tc>
      </w:tr>
      <w:tr>
        <w:trPr>
          <w:trHeight w:hRule="exact" w:val="280"/>
        </w:trPr>
        <w:tc>
          <w:tcPr>
            <w:tcW w:type="dxa" w:w="7115"/>
            <w:vMerge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0208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Novo Ato Normativo </w:t>
            </w:r>
          </w:p>
        </w:tc>
      </w:tr>
      <w:tr>
        <w:trPr>
          <w:trHeight w:hRule="exact" w:val="278"/>
        </w:trPr>
        <w:tc>
          <w:tcPr>
            <w:tcW w:type="dxa" w:w="7115"/>
            <w:vMerge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020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Regulamentos e Procedimentos </w:t>
            </w:r>
          </w:p>
        </w:tc>
      </w:tr>
      <w:tr>
        <w:trPr>
          <w:trHeight w:hRule="exact" w:val="276"/>
        </w:trPr>
        <w:tc>
          <w:tcPr>
            <w:tcW w:type="dxa" w:w="7115"/>
            <w:vMerge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020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Atendimento às NRs ANA </w:t>
            </w:r>
          </w:p>
        </w:tc>
      </w:tr>
      <w:tr>
        <w:trPr>
          <w:trHeight w:hRule="exact" w:val="280"/>
        </w:trPr>
        <w:tc>
          <w:tcPr>
            <w:tcW w:type="dxa" w:w="3968"/>
            <w:vMerge w:val="restart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4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Objetivo(s) Estratégico(s) vinculado(s) </w:t>
            </w:r>
          </w:p>
        </w:tc>
        <w:tc>
          <w:tcPr>
            <w:tcW w:type="dxa" w:w="1020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1. Promover o amplo acesso à prestação de serviços públicos regulados com modicidade tarifária </w:t>
            </w:r>
          </w:p>
        </w:tc>
      </w:tr>
      <w:tr>
        <w:trPr>
          <w:trHeight w:hRule="exact" w:val="280"/>
        </w:trPr>
        <w:tc>
          <w:tcPr>
            <w:tcW w:type="dxa" w:w="7115"/>
            <w:vMerge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020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6. Fortalecer a excelência regulatória, fiscalizatória e normativa da Agência </w:t>
            </w:r>
          </w:p>
        </w:tc>
      </w:tr>
      <w:tr>
        <w:trPr>
          <w:trHeight w:hRule="exact" w:val="278"/>
        </w:trPr>
        <w:tc>
          <w:tcPr>
            <w:tcW w:type="dxa" w:w="396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Previsão de Entrega </w:t>
            </w:r>
          </w:p>
        </w:tc>
        <w:tc>
          <w:tcPr>
            <w:tcW w:type="dxa" w:w="1020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2º S / 2026 </w:t>
            </w:r>
          </w:p>
        </w:tc>
      </w:tr>
    </w:tbl>
    <w:p>
      <w:pPr>
        <w:autoSpaceDN w:val="0"/>
        <w:autoSpaceDE w:val="0"/>
        <w:widowControl/>
        <w:spacing w:line="2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7115"/>
        <w:gridCol w:w="7115"/>
      </w:tblGrid>
      <w:tr>
        <w:trPr>
          <w:trHeight w:hRule="exact" w:val="548"/>
        </w:trPr>
        <w:tc>
          <w:tcPr>
            <w:tcW w:type="dxa" w:w="3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6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22"/>
              </w:rPr>
              <w:t xml:space="preserve">Título Projeto </w:t>
            </w:r>
          </w:p>
        </w:tc>
        <w:tc>
          <w:tcPr>
            <w:tcW w:type="dxa" w:w="10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2016" w:right="1872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22"/>
              </w:rPr>
              <w:t xml:space="preserve">1.2. Adoção da NR ANA nº 10/2024 - Metodologias de Cálculo e </w:t>
            </w:r>
            <w:r>
              <w:rPr>
                <w:rFonts w:ascii="Aptos" w:hAnsi="Aptos" w:eastAsia="Aptos"/>
                <w:b/>
                <w:i w:val="0"/>
                <w:color w:val="FFFFFF"/>
                <w:sz w:val="22"/>
              </w:rPr>
              <w:t xml:space="preserve">Procedimentos para Reajuste Tarifário </w:t>
            </w:r>
          </w:p>
        </w:tc>
      </w:tr>
      <w:tr>
        <w:trPr>
          <w:trHeight w:hRule="exact" w:val="280"/>
        </w:trPr>
        <w:tc>
          <w:tcPr>
            <w:tcW w:type="dxa" w:w="3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Tema Regulatório </w:t>
            </w:r>
          </w:p>
        </w:tc>
        <w:tc>
          <w:tcPr>
            <w:tcW w:type="dxa" w:w="10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Regulação de tarifas e preços públicos (Água e Esgoto) </w:t>
            </w:r>
          </w:p>
        </w:tc>
      </w:tr>
      <w:tr>
        <w:trPr>
          <w:trHeight w:hRule="exact" w:val="546"/>
        </w:trPr>
        <w:tc>
          <w:tcPr>
            <w:tcW w:type="dxa" w:w="39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32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026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288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O projeto tem por objetivo adequar os procedimentos de reajuste tarifário às diretrizes da Norma de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Referência ANA nº 10/2024, disciplinando metodologias de cálculo, prazos e rotinas administrativas. </w:t>
            </w:r>
          </w:p>
        </w:tc>
      </w:tr>
      <w:tr>
        <w:trPr>
          <w:trHeight w:hRule="exact" w:val="280"/>
        </w:trPr>
        <w:tc>
          <w:tcPr>
            <w:tcW w:type="dxa" w:w="3934"/>
            <w:vMerge w:val="restart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418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Natureza do Projeto </w:t>
            </w:r>
          </w:p>
        </w:tc>
        <w:tc>
          <w:tcPr>
            <w:tcW w:type="dxa" w:w="1026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Revisão de Ato Normativo </w:t>
            </w:r>
          </w:p>
        </w:tc>
      </w:tr>
      <w:tr>
        <w:trPr>
          <w:trHeight w:hRule="exact" w:val="278"/>
        </w:trPr>
        <w:tc>
          <w:tcPr>
            <w:tcW w:type="dxa" w:w="7115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Novo Ato Normativo </w:t>
            </w:r>
          </w:p>
        </w:tc>
      </w:tr>
      <w:tr>
        <w:trPr>
          <w:trHeight w:hRule="exact" w:val="278"/>
        </w:trPr>
        <w:tc>
          <w:tcPr>
            <w:tcW w:type="dxa" w:w="7115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2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Regulamentos e Procedimentos </w:t>
            </w:r>
          </w:p>
        </w:tc>
      </w:tr>
      <w:tr>
        <w:trPr>
          <w:trHeight w:hRule="exact" w:val="282"/>
        </w:trPr>
        <w:tc>
          <w:tcPr>
            <w:tcW w:type="dxa" w:w="7115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2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Atendimento às NRs ANA </w:t>
            </w:r>
          </w:p>
        </w:tc>
      </w:tr>
      <w:tr>
        <w:trPr>
          <w:trHeight w:hRule="exact" w:val="276"/>
        </w:trPr>
        <w:tc>
          <w:tcPr>
            <w:tcW w:type="dxa" w:w="393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576" w:right="576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Objetivo(s) Estratégico(s) </w:t>
            </w: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vinculado(s) </w:t>
            </w:r>
          </w:p>
        </w:tc>
        <w:tc>
          <w:tcPr>
            <w:tcW w:type="dxa" w:w="10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1. Promover o amplo acesso à prestação de serviços públicos regulados com modicidade tarifária </w:t>
            </w:r>
          </w:p>
        </w:tc>
      </w:tr>
      <w:tr>
        <w:trPr>
          <w:trHeight w:hRule="exact" w:val="280"/>
        </w:trPr>
        <w:tc>
          <w:tcPr>
            <w:tcW w:type="dxa" w:w="711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6. Fortalecer a excelência regulatória, fiscalizatória e normativa da Agência </w:t>
            </w:r>
          </w:p>
        </w:tc>
      </w:tr>
      <w:tr>
        <w:trPr>
          <w:trHeight w:hRule="exact" w:val="278"/>
        </w:trPr>
        <w:tc>
          <w:tcPr>
            <w:tcW w:type="dxa" w:w="39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Previsão de Entrega </w:t>
            </w:r>
          </w:p>
        </w:tc>
        <w:tc>
          <w:tcPr>
            <w:tcW w:type="dxa" w:w="102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2º S / 2026 </w:t>
            </w:r>
          </w:p>
        </w:tc>
      </w:tr>
    </w:tbl>
    <w:p>
      <w:pPr>
        <w:autoSpaceDN w:val="0"/>
        <w:tabs>
          <w:tab w:pos="11346" w:val="left"/>
        </w:tabs>
        <w:autoSpaceDE w:val="0"/>
        <w:widowControl/>
        <w:spacing w:line="197" w:lineRule="auto" w:before="610" w:after="0"/>
        <w:ind w:left="113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688 – 18/02/2026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10</w:t>
      </w:r>
    </w:p>
    <w:p>
      <w:pPr>
        <w:sectPr>
          <w:pgSz w:w="16838" w:h="11906"/>
          <w:pgMar w:top="178" w:right="1172" w:bottom="51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1457960</wp:posOffset>
            </wp:positionH>
            <wp:positionV relativeFrom="page">
              <wp:posOffset>6675120</wp:posOffset>
            </wp:positionV>
            <wp:extent cx="7739380" cy="986147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60"/>
        <w:ind w:left="0" w:right="50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4213860</wp:posOffset>
            </wp:positionH>
            <wp:positionV relativeFrom="page">
              <wp:posOffset>209550</wp:posOffset>
            </wp:positionV>
            <wp:extent cx="2518410" cy="53975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7103"/>
        <w:gridCol w:w="7103"/>
      </w:tblGrid>
      <w:tr>
        <w:trPr>
          <w:trHeight w:hRule="exact" w:val="280"/>
        </w:trPr>
        <w:tc>
          <w:tcPr>
            <w:tcW w:type="dxa" w:w="39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22"/>
              </w:rPr>
              <w:t xml:space="preserve">Título Projeto </w:t>
            </w:r>
          </w:p>
        </w:tc>
        <w:tc>
          <w:tcPr>
            <w:tcW w:type="dxa" w:w="102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22"/>
              </w:rPr>
              <w:t xml:space="preserve">1.3. Adoção da NR ANA nº 13/2025 - Estrutura Tarifária e Tarifa Social </w:t>
            </w:r>
          </w:p>
        </w:tc>
      </w:tr>
      <w:tr>
        <w:trPr>
          <w:trHeight w:hRule="exact" w:val="278"/>
        </w:trPr>
        <w:tc>
          <w:tcPr>
            <w:tcW w:type="dxa" w:w="3972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Tema Regulatório </w:t>
            </w:r>
          </w:p>
        </w:tc>
        <w:tc>
          <w:tcPr>
            <w:tcW w:type="dxa" w:w="10204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Regulação de tarifas e preços públicos (Água e Esgoto) </w:t>
            </w:r>
          </w:p>
        </w:tc>
      </w:tr>
      <w:tr>
        <w:trPr>
          <w:trHeight w:hRule="exact" w:val="548"/>
        </w:trPr>
        <w:tc>
          <w:tcPr>
            <w:tcW w:type="dxa" w:w="3972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4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0204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O projeto visa adequar a regulação tarifária da Agência às diretrizes da NR ANA nº 13/2025, com ênfase na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estrutura tarifária e aprimoramentos de implementação da Tarifa Social de Água e Esgoto </w:t>
            </w:r>
          </w:p>
        </w:tc>
      </w:tr>
      <w:tr>
        <w:trPr>
          <w:trHeight w:hRule="exact" w:val="276"/>
        </w:trPr>
        <w:tc>
          <w:tcPr>
            <w:tcW w:type="dxa" w:w="397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76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Natureza do Projeto </w:t>
            </w:r>
          </w:p>
        </w:tc>
        <w:tc>
          <w:tcPr>
            <w:tcW w:type="dxa" w:w="102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Revisão de Ato Normativo </w:t>
            </w:r>
          </w:p>
        </w:tc>
      </w:tr>
      <w:tr>
        <w:trPr>
          <w:trHeight w:hRule="exact" w:val="280"/>
        </w:trPr>
        <w:tc>
          <w:tcPr>
            <w:tcW w:type="dxa" w:w="710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2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Novo Ato Normativo </w:t>
            </w:r>
          </w:p>
        </w:tc>
      </w:tr>
      <w:tr>
        <w:trPr>
          <w:trHeight w:hRule="exact" w:val="278"/>
        </w:trPr>
        <w:tc>
          <w:tcPr>
            <w:tcW w:type="dxa" w:w="710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2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Atendimento às NRs ANA </w:t>
            </w:r>
          </w:p>
        </w:tc>
      </w:tr>
      <w:tr>
        <w:trPr>
          <w:trHeight w:hRule="exact" w:val="280"/>
        </w:trPr>
        <w:tc>
          <w:tcPr>
            <w:tcW w:type="dxa" w:w="397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4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Objetivo(s) Estratégico(s) vinculado(s) </w:t>
            </w:r>
          </w:p>
        </w:tc>
        <w:tc>
          <w:tcPr>
            <w:tcW w:type="dxa" w:w="102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1. Promover o amplo acesso à prestação de serviços públicos regulados com modicidade tarifária </w:t>
            </w:r>
          </w:p>
        </w:tc>
      </w:tr>
      <w:tr>
        <w:trPr>
          <w:trHeight w:hRule="exact" w:val="278"/>
        </w:trPr>
        <w:tc>
          <w:tcPr>
            <w:tcW w:type="dxa" w:w="710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2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6. Fortalecer a excelência regulatória, fiscalizatória e normativa da Agência </w:t>
            </w:r>
          </w:p>
        </w:tc>
      </w:tr>
      <w:tr>
        <w:trPr>
          <w:trHeight w:hRule="exact" w:val="282"/>
        </w:trPr>
        <w:tc>
          <w:tcPr>
            <w:tcW w:type="dxa" w:w="39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Previsão de Entrega </w:t>
            </w:r>
          </w:p>
        </w:tc>
        <w:tc>
          <w:tcPr>
            <w:tcW w:type="dxa" w:w="102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2º S / 2027 </w:t>
            </w:r>
          </w:p>
        </w:tc>
      </w:tr>
    </w:tbl>
    <w:p>
      <w:pPr>
        <w:autoSpaceDN w:val="0"/>
        <w:autoSpaceDE w:val="0"/>
        <w:widowControl/>
        <w:spacing w:line="11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7103"/>
        <w:gridCol w:w="7103"/>
      </w:tblGrid>
      <w:tr>
        <w:trPr>
          <w:trHeight w:hRule="exact" w:val="280"/>
        </w:trPr>
        <w:tc>
          <w:tcPr>
            <w:tcW w:type="dxa" w:w="391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22"/>
              </w:rPr>
              <w:t xml:space="preserve">Título Projeto </w:t>
            </w:r>
          </w:p>
        </w:tc>
        <w:tc>
          <w:tcPr>
            <w:tcW w:type="dxa" w:w="1020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22"/>
              </w:rPr>
              <w:t xml:space="preserve">1.4. Revisão da Resolução ARES-PCJ nº 303/2019 </w:t>
            </w:r>
          </w:p>
        </w:tc>
      </w:tr>
      <w:tr>
        <w:trPr>
          <w:trHeight w:hRule="exact" w:val="278"/>
        </w:trPr>
        <w:tc>
          <w:tcPr>
            <w:tcW w:type="dxa" w:w="3916"/>
            <w:vMerge w:val="restart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8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Tema Regulatório </w:t>
            </w:r>
          </w:p>
        </w:tc>
        <w:tc>
          <w:tcPr>
            <w:tcW w:type="dxa" w:w="1020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Regulação contratual </w:t>
            </w:r>
          </w:p>
        </w:tc>
      </w:tr>
      <w:tr>
        <w:trPr>
          <w:trHeight w:hRule="exact" w:val="278"/>
        </w:trPr>
        <w:tc>
          <w:tcPr>
            <w:tcW w:type="dxa" w:w="7103"/>
            <w:vMerge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020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Regulação de tarifas e preços públicos (Água e Esgoto) </w:t>
            </w:r>
          </w:p>
        </w:tc>
      </w:tr>
      <w:tr>
        <w:trPr>
          <w:trHeight w:hRule="exact" w:val="1354"/>
        </w:trPr>
        <w:tc>
          <w:tcPr>
            <w:tcW w:type="dxa" w:w="39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538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020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w w:val="97.8305484937585"/>
                <w:rFonts w:ascii="Aptos" w:hAnsi="Aptos" w:eastAsia="Aptos"/>
                <w:b w:val="0"/>
                <w:i w:val="0"/>
                <w:color w:val="000000"/>
                <w:sz w:val="23"/>
              </w:rPr>
              <w:t xml:space="preserve">A Resolução nº 303/2019 é o principal normativo a estabelecer procedimentos regulatórios em </w:t>
            </w:r>
            <w:r>
              <w:rPr>
                <w:w w:val="97.8305484937585"/>
                <w:rFonts w:ascii="Aptos" w:hAnsi="Aptos" w:eastAsia="Aptos"/>
                <w:b w:val="0"/>
                <w:i w:val="0"/>
                <w:color w:val="000000"/>
                <w:sz w:val="23"/>
              </w:rPr>
              <w:t xml:space="preserve">Contratos de Concessão e PPP, incluindo aqueles referentes à regulação econômica e </w:t>
            </w:r>
            <w:r>
              <w:br/>
            </w:r>
            <w:r>
              <w:rPr>
                <w:w w:val="97.8305484937585"/>
                <w:rFonts w:ascii="Aptos" w:hAnsi="Aptos" w:eastAsia="Aptos"/>
                <w:b w:val="0"/>
                <w:i w:val="0"/>
                <w:color w:val="000000"/>
                <w:sz w:val="23"/>
              </w:rPr>
              <w:t xml:space="preserve">acompanhamento da execução contratual. Propõe-se sua revisão de modo a captar os avanços que </w:t>
            </w:r>
            <w:r>
              <w:rPr>
                <w:w w:val="97.8305484937585"/>
                <w:rFonts w:ascii="Aptos" w:hAnsi="Aptos" w:eastAsia="Aptos"/>
                <w:b w:val="0"/>
                <w:i w:val="0"/>
                <w:color w:val="000000"/>
                <w:sz w:val="23"/>
              </w:rPr>
              <w:t xml:space="preserve">a conjuntura do setor apresenta ao tema, além de verificar a eficácia de sua aplicação em relação à </w:t>
            </w:r>
            <w:r>
              <w:rPr>
                <w:w w:val="97.8305484937585"/>
                <w:rFonts w:ascii="Aptos" w:hAnsi="Aptos" w:eastAsia="Aptos"/>
                <w:b w:val="0"/>
                <w:i w:val="0"/>
                <w:color w:val="000000"/>
                <w:sz w:val="23"/>
              </w:rPr>
              <w:t>experiência do último período.</w:t>
            </w:r>
          </w:p>
        </w:tc>
      </w:tr>
      <w:tr>
        <w:trPr>
          <w:trHeight w:hRule="exact" w:val="280"/>
        </w:trPr>
        <w:tc>
          <w:tcPr>
            <w:tcW w:type="dxa" w:w="39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Natureza do Projeto </w:t>
            </w:r>
          </w:p>
        </w:tc>
        <w:tc>
          <w:tcPr>
            <w:tcW w:type="dxa" w:w="1020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Revisão de Ato Normativo </w:t>
            </w:r>
          </w:p>
        </w:tc>
      </w:tr>
      <w:tr>
        <w:trPr>
          <w:trHeight w:hRule="exact" w:val="276"/>
        </w:trPr>
        <w:tc>
          <w:tcPr>
            <w:tcW w:type="dxa" w:w="3916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76" w:after="0"/>
              <w:ind w:left="576" w:right="576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Objetivo(s) Estratégico(s) </w:t>
            </w: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vinculado(s) </w:t>
            </w:r>
          </w:p>
        </w:tc>
        <w:tc>
          <w:tcPr>
            <w:tcW w:type="dxa" w:w="1020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6. Fortalecer a excelência regulatória, fiscalizatória e normativa da Agência </w:t>
            </w:r>
          </w:p>
        </w:tc>
      </w:tr>
      <w:tr>
        <w:trPr>
          <w:trHeight w:hRule="exact" w:val="550"/>
        </w:trPr>
        <w:tc>
          <w:tcPr>
            <w:tcW w:type="dxa" w:w="7103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020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432" w:right="432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2. Contribuir para a qualidade dos serviços públicos regulados com transparência e participação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 social </w:t>
            </w:r>
          </w:p>
        </w:tc>
      </w:tr>
      <w:tr>
        <w:trPr>
          <w:trHeight w:hRule="exact" w:val="278"/>
        </w:trPr>
        <w:tc>
          <w:tcPr>
            <w:tcW w:type="dxa" w:w="7103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020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5. Fortalecer e aperfeiçoar os processos de gerenciais e de suporte </w:t>
            </w:r>
          </w:p>
        </w:tc>
      </w:tr>
      <w:tr>
        <w:trPr>
          <w:trHeight w:hRule="exact" w:val="278"/>
        </w:trPr>
        <w:tc>
          <w:tcPr>
            <w:tcW w:type="dxa" w:w="391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Previsão de Entrega </w:t>
            </w:r>
          </w:p>
        </w:tc>
        <w:tc>
          <w:tcPr>
            <w:tcW w:type="dxa" w:w="1020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2º S / 2026 </w:t>
            </w:r>
          </w:p>
        </w:tc>
      </w:tr>
    </w:tbl>
    <w:p>
      <w:pPr>
        <w:autoSpaceDN w:val="0"/>
        <w:tabs>
          <w:tab w:pos="11342" w:val="left"/>
        </w:tabs>
        <w:autoSpaceDE w:val="0"/>
        <w:widowControl/>
        <w:spacing w:line="197" w:lineRule="auto" w:before="1426" w:after="0"/>
        <w:ind w:left="17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688 – 18/02/2026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p>
      <w:pPr>
        <w:sectPr>
          <w:pgSz w:w="16838" w:h="11906"/>
          <w:pgMar w:top="164" w:right="1192" w:bottom="5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1457960</wp:posOffset>
            </wp:positionH>
            <wp:positionV relativeFrom="page">
              <wp:posOffset>6675120</wp:posOffset>
            </wp:positionV>
            <wp:extent cx="7739380" cy="986147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60"/>
        <w:ind w:left="0" w:right="504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4213860</wp:posOffset>
            </wp:positionH>
            <wp:positionV relativeFrom="page">
              <wp:posOffset>209550</wp:posOffset>
            </wp:positionV>
            <wp:extent cx="2518410" cy="53975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7102"/>
        <w:gridCol w:w="7102"/>
      </w:tblGrid>
      <w:tr>
        <w:trPr>
          <w:trHeight w:hRule="exact" w:val="280"/>
        </w:trPr>
        <w:tc>
          <w:tcPr>
            <w:tcW w:type="dxa" w:w="3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22"/>
              </w:rPr>
              <w:t xml:space="preserve">Título Projeto </w:t>
            </w:r>
          </w:p>
        </w:tc>
        <w:tc>
          <w:tcPr>
            <w:tcW w:type="dxa" w:w="10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22"/>
              </w:rPr>
              <w:t xml:space="preserve">1.5. Revisão da Resolução ARES-PCJ nº 423/2022 - Preços Públicos de Serviços Individuais </w:t>
            </w:r>
          </w:p>
        </w:tc>
      </w:tr>
      <w:tr>
        <w:trPr>
          <w:trHeight w:hRule="exact" w:val="278"/>
        </w:trPr>
        <w:tc>
          <w:tcPr>
            <w:tcW w:type="dxa" w:w="3968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Tema Regulatório </w:t>
            </w:r>
          </w:p>
        </w:tc>
        <w:tc>
          <w:tcPr>
            <w:tcW w:type="dxa" w:w="10208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Regulação de tarifas e preços públicos (Água e Esgoto) </w:t>
            </w:r>
          </w:p>
        </w:tc>
      </w:tr>
      <w:tr>
        <w:trPr>
          <w:trHeight w:hRule="exact" w:val="1622"/>
        </w:trPr>
        <w:tc>
          <w:tcPr>
            <w:tcW w:type="dxa" w:w="3968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72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0208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A Resolução nº 423/2022 dispõe sobre procedimentos e metodologias a serem observados pela Agência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na definição e regulação dos preços públicos dos serviços individuais praticados por prestadores dos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serviços de abastecimento de água e esgotamento sanitário. </w:t>
            </w:r>
          </w:p>
          <w:p>
            <w:pPr>
              <w:autoSpaceDN w:val="0"/>
              <w:autoSpaceDE w:val="0"/>
              <w:widowControl/>
              <w:spacing w:line="245" w:lineRule="auto" w:before="266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Sua experiência de aplicação foi capaz de apontar a necessidade de aprimoramentos em sua dinâmica de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implantação, de forma a diminuir os custos regulatórios de seus trâmites. </w:t>
            </w:r>
          </w:p>
        </w:tc>
      </w:tr>
      <w:tr>
        <w:trPr>
          <w:trHeight w:hRule="exact" w:val="280"/>
        </w:trPr>
        <w:tc>
          <w:tcPr>
            <w:tcW w:type="dxa" w:w="396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4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Natureza do Projeto </w:t>
            </w:r>
          </w:p>
        </w:tc>
        <w:tc>
          <w:tcPr>
            <w:tcW w:type="dxa" w:w="10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Revisão de Ato Normativo </w:t>
            </w:r>
          </w:p>
        </w:tc>
      </w:tr>
      <w:tr>
        <w:trPr>
          <w:trHeight w:hRule="exact" w:val="278"/>
        </w:trPr>
        <w:tc>
          <w:tcPr>
            <w:tcW w:type="dxa" w:w="710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Regulamentos e Procedimentos </w:t>
            </w:r>
          </w:p>
        </w:tc>
      </w:tr>
      <w:tr>
        <w:trPr>
          <w:trHeight w:hRule="exact" w:val="278"/>
        </w:trPr>
        <w:tc>
          <w:tcPr>
            <w:tcW w:type="dxa" w:w="396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8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Objetivo(s) Estratégico(s) vinculado(s) </w:t>
            </w:r>
          </w:p>
        </w:tc>
        <w:tc>
          <w:tcPr>
            <w:tcW w:type="dxa" w:w="102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1. Promover o amplo acesso à prestação de serviços públicos regulados com modicidade tarifária </w:t>
            </w:r>
          </w:p>
        </w:tc>
      </w:tr>
      <w:tr>
        <w:trPr>
          <w:trHeight w:hRule="exact" w:val="278"/>
        </w:trPr>
        <w:tc>
          <w:tcPr>
            <w:tcW w:type="dxa" w:w="710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2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2. Contribuir para a qualidade dos serviços públicos regulados com transparência e participação social </w:t>
            </w:r>
          </w:p>
        </w:tc>
      </w:tr>
      <w:tr>
        <w:trPr>
          <w:trHeight w:hRule="exact" w:val="278"/>
        </w:trPr>
        <w:tc>
          <w:tcPr>
            <w:tcW w:type="dxa" w:w="3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Previsão de Entrega </w:t>
            </w:r>
          </w:p>
        </w:tc>
        <w:tc>
          <w:tcPr>
            <w:tcW w:type="dxa" w:w="10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2º S / 2026 </w:t>
            </w:r>
          </w:p>
        </w:tc>
      </w:tr>
    </w:tbl>
    <w:p>
      <w:pPr>
        <w:autoSpaceDN w:val="0"/>
        <w:autoSpaceDE w:val="0"/>
        <w:widowControl/>
        <w:spacing w:line="8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7102"/>
        <w:gridCol w:w="7102"/>
      </w:tblGrid>
      <w:tr>
        <w:trPr>
          <w:trHeight w:hRule="exact" w:val="278"/>
        </w:trPr>
        <w:tc>
          <w:tcPr>
            <w:tcW w:type="dxa" w:w="3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22"/>
              </w:rPr>
              <w:t xml:space="preserve">Título Projeto </w:t>
            </w:r>
          </w:p>
        </w:tc>
        <w:tc>
          <w:tcPr>
            <w:tcW w:type="dxa" w:w="10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22"/>
              </w:rPr>
              <w:t xml:space="preserve">1.6. Revisão da Resolução ARES-PCJ nº 94/2015 </w:t>
            </w:r>
          </w:p>
        </w:tc>
      </w:tr>
      <w:tr>
        <w:trPr>
          <w:trHeight w:hRule="exact" w:val="282"/>
        </w:trPr>
        <w:tc>
          <w:tcPr>
            <w:tcW w:type="dxa" w:w="396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2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Tema Regulatório </w:t>
            </w:r>
          </w:p>
        </w:tc>
        <w:tc>
          <w:tcPr>
            <w:tcW w:type="dxa" w:w="10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Regulação de tarifas e preços públicos (Água e Esgoto) </w:t>
            </w:r>
          </w:p>
        </w:tc>
      </w:tr>
      <w:tr>
        <w:trPr>
          <w:trHeight w:hRule="exact" w:val="278"/>
        </w:trPr>
        <w:tc>
          <w:tcPr>
            <w:tcW w:type="dxa" w:w="710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Regulação contratual </w:t>
            </w:r>
          </w:p>
        </w:tc>
      </w:tr>
      <w:tr>
        <w:trPr>
          <w:trHeight w:hRule="exact" w:val="1352"/>
        </w:trPr>
        <w:tc>
          <w:tcPr>
            <w:tcW w:type="dxa" w:w="39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534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02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w w:val="97.8305484937585"/>
                <w:rFonts w:ascii="Aptos" w:hAnsi="Aptos" w:eastAsia="Aptos"/>
                <w:b w:val="0"/>
                <w:i w:val="0"/>
                <w:color w:val="000000"/>
                <w:sz w:val="23"/>
              </w:rPr>
              <w:t xml:space="preserve">A Resolução ARES-PCJ nº 94/2015 estabelece mecanismo de reequilíbrio por custos com o sistema </w:t>
            </w:r>
            <w:r>
              <w:rPr>
                <w:w w:val="97.8305484937585"/>
                <w:rFonts w:ascii="Aptos" w:hAnsi="Aptos" w:eastAsia="Aptos"/>
                <w:b w:val="0"/>
                <w:i w:val="0"/>
                <w:color w:val="000000"/>
                <w:sz w:val="23"/>
              </w:rPr>
              <w:t xml:space="preserve">de bandeiras tarifárias de energia elétrica no âmbito de contratos de Parceria Público-Privada.  A </w:t>
            </w:r>
            <w:r>
              <w:rPr>
                <w:w w:val="97.8305484937585"/>
                <w:rFonts w:ascii="Aptos" w:hAnsi="Aptos" w:eastAsia="Aptos"/>
                <w:b w:val="0"/>
                <w:i w:val="0"/>
                <w:color w:val="000000"/>
                <w:sz w:val="23"/>
              </w:rPr>
              <w:t xml:space="preserve">revisão busca assegurar maior previsibilidade e equilíbrio em relação ao tema, permitindo que entes </w:t>
            </w:r>
            <w:r>
              <w:rPr>
                <w:w w:val="97.8305484937585"/>
                <w:rFonts w:ascii="Aptos" w:hAnsi="Aptos" w:eastAsia="Aptos"/>
                <w:b w:val="0"/>
                <w:i w:val="0"/>
                <w:color w:val="000000"/>
                <w:sz w:val="23"/>
              </w:rPr>
              <w:t xml:space="preserve">públicos e privados possam enfrentar de maneira mais eficaz os desafios impostos por variações no </w:t>
            </w:r>
            <w:r>
              <w:rPr>
                <w:w w:val="97.8305484937585"/>
                <w:rFonts w:ascii="Aptos" w:hAnsi="Aptos" w:eastAsia="Aptos"/>
                <w:b w:val="0"/>
                <w:i w:val="0"/>
                <w:color w:val="000000"/>
                <w:sz w:val="23"/>
              </w:rPr>
              <w:t>cenário hídrico.</w:t>
            </w:r>
          </w:p>
        </w:tc>
      </w:tr>
      <w:tr>
        <w:trPr>
          <w:trHeight w:hRule="exact" w:val="278"/>
        </w:trPr>
        <w:tc>
          <w:tcPr>
            <w:tcW w:type="dxa" w:w="39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Natureza do Projeto </w:t>
            </w:r>
          </w:p>
        </w:tc>
        <w:tc>
          <w:tcPr>
            <w:tcW w:type="dxa" w:w="102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Revisão de Ato Normativo </w:t>
            </w:r>
          </w:p>
        </w:tc>
      </w:tr>
      <w:tr>
        <w:trPr>
          <w:trHeight w:hRule="exact" w:val="280"/>
        </w:trPr>
        <w:tc>
          <w:tcPr>
            <w:tcW w:type="dxa" w:w="3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Objetivo(s) Estratégico(s) vinculado(s) </w:t>
            </w:r>
          </w:p>
        </w:tc>
        <w:tc>
          <w:tcPr>
            <w:tcW w:type="dxa" w:w="10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1. Promover o amplo acesso à prestação de serviços públicos regulados com modicidade tarifária </w:t>
            </w:r>
          </w:p>
        </w:tc>
      </w:tr>
      <w:tr>
        <w:trPr>
          <w:trHeight w:hRule="exact" w:val="278"/>
        </w:trPr>
        <w:tc>
          <w:tcPr>
            <w:tcW w:type="dxa" w:w="39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Previsão de Entrega </w:t>
            </w:r>
          </w:p>
        </w:tc>
        <w:tc>
          <w:tcPr>
            <w:tcW w:type="dxa" w:w="102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1º S / 2027 </w:t>
            </w:r>
          </w:p>
        </w:tc>
      </w:tr>
    </w:tbl>
    <w:p>
      <w:pPr>
        <w:autoSpaceDN w:val="0"/>
        <w:tabs>
          <w:tab w:pos="11342" w:val="left"/>
        </w:tabs>
        <w:autoSpaceDE w:val="0"/>
        <w:widowControl/>
        <w:spacing w:line="197" w:lineRule="auto" w:before="1750" w:after="0"/>
        <w:ind w:left="17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688 – 18/02/2026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12 </w:t>
      </w:r>
    </w:p>
    <w:p>
      <w:pPr>
        <w:sectPr>
          <w:pgSz w:w="16838" w:h="11906"/>
          <w:pgMar w:top="164" w:right="1194" w:bottom="5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1457960</wp:posOffset>
            </wp:positionH>
            <wp:positionV relativeFrom="page">
              <wp:posOffset>6675120</wp:posOffset>
            </wp:positionV>
            <wp:extent cx="7739380" cy="986147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60"/>
        <w:ind w:left="0" w:right="504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4213860</wp:posOffset>
            </wp:positionH>
            <wp:positionV relativeFrom="page">
              <wp:posOffset>209550</wp:posOffset>
            </wp:positionV>
            <wp:extent cx="2518410" cy="53975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7102"/>
        <w:gridCol w:w="7102"/>
      </w:tblGrid>
      <w:tr>
        <w:trPr>
          <w:trHeight w:hRule="exact" w:val="280"/>
        </w:trPr>
        <w:tc>
          <w:tcPr>
            <w:tcW w:type="dxa" w:w="3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22"/>
              </w:rPr>
              <w:t xml:space="preserve">Título Projeto </w:t>
            </w:r>
          </w:p>
        </w:tc>
        <w:tc>
          <w:tcPr>
            <w:tcW w:type="dxa" w:w="10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22"/>
              </w:rPr>
              <w:t xml:space="preserve">1.7. Reforma Tributária </w:t>
            </w:r>
          </w:p>
        </w:tc>
      </w:tr>
      <w:tr>
        <w:trPr>
          <w:trHeight w:hRule="exact" w:val="278"/>
        </w:trPr>
        <w:tc>
          <w:tcPr>
            <w:tcW w:type="dxa" w:w="396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9999999999998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76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Tema Regulatório </w:t>
            </w:r>
          </w:p>
        </w:tc>
        <w:tc>
          <w:tcPr>
            <w:tcW w:type="dxa" w:w="10208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Regulação de tarifas e preços públicos (Água e Esgoto) </w:t>
            </w:r>
          </w:p>
        </w:tc>
      </w:tr>
      <w:tr>
        <w:trPr>
          <w:trHeight w:hRule="exact" w:val="278"/>
        </w:trPr>
        <w:tc>
          <w:tcPr>
            <w:tcW w:type="dxa" w:w="710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9999999999998863" w:val="single" w:color="#000000"/>
            </w:tcBorders>
          </w:tcPr>
          <w:p/>
        </w:tc>
        <w:tc>
          <w:tcPr>
            <w:tcW w:type="dxa" w:w="10208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Planejamento e gestão da política pública de saneamento básico </w:t>
            </w:r>
          </w:p>
        </w:tc>
      </w:tr>
      <w:tr>
        <w:trPr>
          <w:trHeight w:hRule="exact" w:val="278"/>
        </w:trPr>
        <w:tc>
          <w:tcPr>
            <w:tcW w:type="dxa" w:w="710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9999999999998863" w:val="single" w:color="#000000"/>
            </w:tcBorders>
          </w:tcPr>
          <w:p/>
        </w:tc>
        <w:tc>
          <w:tcPr>
            <w:tcW w:type="dxa" w:w="10208"/>
            <w:tcBorders>
              <w:start w:sz="4.0" w:val="single" w:color="#000000"/>
              <w:top w:sz="4.0" w:val="single" w:color="#000000"/>
              <w:end w:sz="4.0" w:val="single" w:color="#000000"/>
              <w:bottom w:sz="3.9999999999998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Regulação contratual </w:t>
            </w:r>
          </w:p>
        </w:tc>
      </w:tr>
      <w:tr>
        <w:trPr>
          <w:trHeight w:hRule="exact" w:val="818"/>
        </w:trPr>
        <w:tc>
          <w:tcPr>
            <w:tcW w:type="dxa" w:w="3968"/>
            <w:tcBorders>
              <w:start w:sz="4.0" w:val="single" w:color="#000000"/>
              <w:top w:sz="3.999999999999886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68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0208"/>
            <w:tcBorders>
              <w:start w:sz="4.0" w:val="single" w:color="#000000"/>
              <w:top w:sz="3.999999999999886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Definir os marcos da ação regulatória em face das implicações trazidas pela Reforma Tributária (LC nº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214/2025) a aspectos gerenciais e de equilíbrio econômico-financeiro da prestação dos serviços públicos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de saneamento básico. </w:t>
            </w:r>
          </w:p>
        </w:tc>
      </w:tr>
      <w:tr>
        <w:trPr>
          <w:trHeight w:hRule="exact" w:val="278"/>
        </w:trPr>
        <w:tc>
          <w:tcPr>
            <w:tcW w:type="dxa" w:w="396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414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Natureza do Projeto </w:t>
            </w:r>
          </w:p>
        </w:tc>
        <w:tc>
          <w:tcPr>
            <w:tcW w:type="dxa" w:w="10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Regulamentos e Procedimentos </w:t>
            </w:r>
          </w:p>
        </w:tc>
      </w:tr>
      <w:tr>
        <w:trPr>
          <w:trHeight w:hRule="exact" w:val="278"/>
        </w:trPr>
        <w:tc>
          <w:tcPr>
            <w:tcW w:type="dxa" w:w="710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20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Novo Ato Normativo </w:t>
            </w:r>
          </w:p>
        </w:tc>
      </w:tr>
      <w:tr>
        <w:trPr>
          <w:trHeight w:hRule="exact" w:val="280"/>
        </w:trPr>
        <w:tc>
          <w:tcPr>
            <w:tcW w:type="dxa" w:w="710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20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Revisão de Ato Normativo </w:t>
            </w:r>
          </w:p>
        </w:tc>
      </w:tr>
      <w:tr>
        <w:trPr>
          <w:trHeight w:hRule="exact" w:val="276"/>
        </w:trPr>
        <w:tc>
          <w:tcPr>
            <w:tcW w:type="dxa" w:w="710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Estudos e Publicações </w:t>
            </w:r>
          </w:p>
        </w:tc>
      </w:tr>
      <w:tr>
        <w:trPr>
          <w:trHeight w:hRule="exact" w:val="278"/>
        </w:trPr>
        <w:tc>
          <w:tcPr>
            <w:tcW w:type="dxa" w:w="396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8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Objetivo(s) Estratégico(s) vinculado(s) </w:t>
            </w:r>
          </w:p>
        </w:tc>
        <w:tc>
          <w:tcPr>
            <w:tcW w:type="dxa" w:w="10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1. Promover o amplo acesso à prestação de serviços públicos regulados com modicidade tarifária </w:t>
            </w:r>
          </w:p>
        </w:tc>
      </w:tr>
      <w:tr>
        <w:trPr>
          <w:trHeight w:hRule="exact" w:val="282"/>
        </w:trPr>
        <w:tc>
          <w:tcPr>
            <w:tcW w:type="dxa" w:w="710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2. Contribuir para a qualidade dos serviços públicos regulados com transparência e participação social </w:t>
            </w:r>
          </w:p>
        </w:tc>
      </w:tr>
      <w:tr>
        <w:trPr>
          <w:trHeight w:hRule="exact" w:val="280"/>
        </w:trPr>
        <w:tc>
          <w:tcPr>
            <w:tcW w:type="dxa" w:w="3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Previsão de Entrega </w:t>
            </w:r>
          </w:p>
        </w:tc>
        <w:tc>
          <w:tcPr>
            <w:tcW w:type="dxa" w:w="10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2º S / 2026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7102"/>
        <w:gridCol w:w="7102"/>
      </w:tblGrid>
      <w:tr>
        <w:trPr>
          <w:trHeight w:hRule="exact" w:val="278"/>
        </w:trPr>
        <w:tc>
          <w:tcPr>
            <w:tcW w:type="dxa" w:w="3968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22"/>
              </w:rPr>
              <w:t xml:space="preserve">Título Projeto </w:t>
            </w:r>
          </w:p>
        </w:tc>
        <w:tc>
          <w:tcPr>
            <w:tcW w:type="dxa" w:w="10208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22"/>
              </w:rPr>
              <w:t xml:space="preserve">1.8. Sustentabilidade Econômico-Financeira SMRSU </w:t>
            </w:r>
          </w:p>
        </w:tc>
      </w:tr>
      <w:tr>
        <w:trPr>
          <w:trHeight w:hRule="exact" w:val="278"/>
        </w:trPr>
        <w:tc>
          <w:tcPr>
            <w:tcW w:type="dxa" w:w="3968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4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Tema Regulatório </w:t>
            </w:r>
          </w:p>
        </w:tc>
        <w:tc>
          <w:tcPr>
            <w:tcW w:type="dxa" w:w="102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Regulação de tarifas e preços públicos (RSU) </w:t>
            </w:r>
          </w:p>
        </w:tc>
      </w:tr>
      <w:tr>
        <w:trPr>
          <w:trHeight w:hRule="exact" w:val="280"/>
        </w:trPr>
        <w:tc>
          <w:tcPr>
            <w:tcW w:type="dxa" w:w="7102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Planejamento e gestão da política pública de saneamento básico </w:t>
            </w:r>
          </w:p>
        </w:tc>
      </w:tr>
      <w:tr>
        <w:trPr>
          <w:trHeight w:hRule="exact" w:val="546"/>
        </w:trPr>
        <w:tc>
          <w:tcPr>
            <w:tcW w:type="dxa" w:w="3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4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0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O projeto destina-se a estabelecer parâmetros para atuação da ARES-PCJ no que se refere à regulação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econômica da prestação dos Serviços Públicos de Manejo de Resíduos Sólidos </w:t>
            </w:r>
          </w:p>
        </w:tc>
      </w:tr>
      <w:tr>
        <w:trPr>
          <w:trHeight w:hRule="exact" w:val="278"/>
        </w:trPr>
        <w:tc>
          <w:tcPr>
            <w:tcW w:type="dxa" w:w="396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418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Natureza do Projeto </w:t>
            </w:r>
          </w:p>
        </w:tc>
        <w:tc>
          <w:tcPr>
            <w:tcW w:type="dxa" w:w="10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Novo Ato Normativo </w:t>
            </w:r>
          </w:p>
        </w:tc>
      </w:tr>
      <w:tr>
        <w:trPr>
          <w:trHeight w:hRule="exact" w:val="280"/>
        </w:trPr>
        <w:tc>
          <w:tcPr>
            <w:tcW w:type="dxa" w:w="710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0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Regulamentos e Procedimentos </w:t>
            </w:r>
          </w:p>
        </w:tc>
      </w:tr>
      <w:tr>
        <w:trPr>
          <w:trHeight w:hRule="exact" w:val="278"/>
        </w:trPr>
        <w:tc>
          <w:tcPr>
            <w:tcW w:type="dxa" w:w="710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02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Estudos e Publicações </w:t>
            </w:r>
          </w:p>
        </w:tc>
      </w:tr>
      <w:tr>
        <w:trPr>
          <w:trHeight w:hRule="exact" w:val="278"/>
        </w:trPr>
        <w:tc>
          <w:tcPr>
            <w:tcW w:type="dxa" w:w="710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020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Atendimento às NRs ANA </w:t>
            </w:r>
          </w:p>
        </w:tc>
      </w:tr>
      <w:tr>
        <w:trPr>
          <w:trHeight w:hRule="exact" w:val="280"/>
        </w:trPr>
        <w:tc>
          <w:tcPr>
            <w:tcW w:type="dxa" w:w="3968"/>
            <w:vMerge w:val="restart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8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Objetivo(s) Estratégico(s) vinculado(s) </w:t>
            </w:r>
          </w:p>
        </w:tc>
        <w:tc>
          <w:tcPr>
            <w:tcW w:type="dxa" w:w="1020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1. Promover o amplo acesso à prestação de serviços públicos regulados com modicidade tarifária </w:t>
            </w:r>
          </w:p>
        </w:tc>
      </w:tr>
      <w:tr>
        <w:trPr>
          <w:trHeight w:hRule="exact" w:val="278"/>
        </w:trPr>
        <w:tc>
          <w:tcPr>
            <w:tcW w:type="dxa" w:w="7102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0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2. Contribuir para a qualidade dos serviços públicos regulados com transparência e participação social </w:t>
            </w:r>
          </w:p>
        </w:tc>
      </w:tr>
      <w:tr>
        <w:trPr>
          <w:trHeight w:hRule="exact" w:val="278"/>
        </w:trPr>
        <w:tc>
          <w:tcPr>
            <w:tcW w:type="dxa" w:w="7102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02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6. Fortalecer a excelência regulatória, fiscalizatória e normativa da Agência </w:t>
            </w:r>
          </w:p>
        </w:tc>
      </w:tr>
      <w:tr>
        <w:trPr>
          <w:trHeight w:hRule="exact" w:val="282"/>
        </w:trPr>
        <w:tc>
          <w:tcPr>
            <w:tcW w:type="dxa" w:w="39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Previsão de Entrega </w:t>
            </w:r>
          </w:p>
        </w:tc>
        <w:tc>
          <w:tcPr>
            <w:tcW w:type="dxa" w:w="102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1º S / 2026 </w:t>
            </w:r>
          </w:p>
        </w:tc>
      </w:tr>
    </w:tbl>
    <w:p>
      <w:pPr>
        <w:autoSpaceDN w:val="0"/>
        <w:tabs>
          <w:tab w:pos="11342" w:val="left"/>
        </w:tabs>
        <w:autoSpaceDE w:val="0"/>
        <w:widowControl/>
        <w:spacing w:line="197" w:lineRule="auto" w:before="1146" w:after="0"/>
        <w:ind w:left="17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688 – 18/02/2026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13 </w:t>
      </w:r>
    </w:p>
    <w:p>
      <w:pPr>
        <w:sectPr>
          <w:pgSz w:w="16838" w:h="11906"/>
          <w:pgMar w:top="164" w:right="1194" w:bottom="5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1457960</wp:posOffset>
            </wp:positionH>
            <wp:positionV relativeFrom="page">
              <wp:posOffset>6675120</wp:posOffset>
            </wp:positionV>
            <wp:extent cx="7739380" cy="986147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60"/>
        <w:ind w:left="0" w:right="50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4213860</wp:posOffset>
            </wp:positionH>
            <wp:positionV relativeFrom="page">
              <wp:posOffset>209550</wp:posOffset>
            </wp:positionV>
            <wp:extent cx="2518410" cy="53975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7103"/>
        <w:gridCol w:w="7103"/>
      </w:tblGrid>
      <w:tr>
        <w:trPr>
          <w:trHeight w:hRule="exact" w:val="280"/>
        </w:trPr>
        <w:tc>
          <w:tcPr>
            <w:tcW w:type="dxa" w:w="39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22"/>
              </w:rPr>
              <w:t xml:space="preserve">Título Projeto </w:t>
            </w:r>
          </w:p>
        </w:tc>
        <w:tc>
          <w:tcPr>
            <w:tcW w:type="dxa" w:w="102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22"/>
              </w:rPr>
              <w:t xml:space="preserve">1.9. Regulação econômica de Soluções Alternativas de Água/Esgoto </w:t>
            </w:r>
          </w:p>
        </w:tc>
      </w:tr>
      <w:tr>
        <w:trPr>
          <w:trHeight w:hRule="exact" w:val="278"/>
        </w:trPr>
        <w:tc>
          <w:tcPr>
            <w:tcW w:type="dxa" w:w="397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9999999999998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76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Tema Regulatório </w:t>
            </w:r>
          </w:p>
        </w:tc>
        <w:tc>
          <w:tcPr>
            <w:tcW w:type="dxa" w:w="10204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Condições gerais de água e esgoto </w:t>
            </w:r>
          </w:p>
        </w:tc>
      </w:tr>
      <w:tr>
        <w:trPr>
          <w:trHeight w:hRule="exact" w:val="278"/>
        </w:trPr>
        <w:tc>
          <w:tcPr>
            <w:tcW w:type="dxa" w:w="710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9999999999998863" w:val="single" w:color="#000000"/>
            </w:tcBorders>
          </w:tcPr>
          <w:p/>
        </w:tc>
        <w:tc>
          <w:tcPr>
            <w:tcW w:type="dxa" w:w="10204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Planejamento e gestão da política pública de saneamento básico </w:t>
            </w:r>
          </w:p>
        </w:tc>
      </w:tr>
      <w:tr>
        <w:trPr>
          <w:trHeight w:hRule="exact" w:val="278"/>
        </w:trPr>
        <w:tc>
          <w:tcPr>
            <w:tcW w:type="dxa" w:w="710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9999999999998863" w:val="single" w:color="#000000"/>
            </w:tcBorders>
          </w:tcPr>
          <w:p/>
        </w:tc>
        <w:tc>
          <w:tcPr>
            <w:tcW w:type="dxa" w:w="10204"/>
            <w:tcBorders>
              <w:start w:sz="4.0" w:val="single" w:color="#000000"/>
              <w:top w:sz="4.0" w:val="single" w:color="#000000"/>
              <w:end w:sz="4.0" w:val="single" w:color="#000000"/>
              <w:bottom w:sz="3.9999999999998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Regulação de tarifas e preços públicos (Água e Esgoto) </w:t>
            </w:r>
          </w:p>
        </w:tc>
      </w:tr>
      <w:tr>
        <w:trPr>
          <w:trHeight w:hRule="exact" w:val="818"/>
        </w:trPr>
        <w:tc>
          <w:tcPr>
            <w:tcW w:type="dxa" w:w="3972"/>
            <w:tcBorders>
              <w:start w:sz="4.0" w:val="single" w:color="#000000"/>
              <w:top w:sz="3.999999999999886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68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0204"/>
            <w:tcBorders>
              <w:start w:sz="4.0" w:val="single" w:color="#000000"/>
              <w:top w:sz="3.999999999999886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Definir o modo de atuação da agência em relação à regulação econômica de tarifas e preços públicos na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hipótese de prestação de serviços públicos para soluções alternativas de água e esgoto. Necessidade de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regulamentar o tema em complemento à edição da Resolução ARES-PCJ nº 649/2025. </w:t>
            </w:r>
          </w:p>
        </w:tc>
      </w:tr>
      <w:tr>
        <w:trPr>
          <w:trHeight w:hRule="exact" w:val="278"/>
        </w:trPr>
        <w:tc>
          <w:tcPr>
            <w:tcW w:type="dxa" w:w="397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6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Natureza do Projeto </w:t>
            </w:r>
          </w:p>
        </w:tc>
        <w:tc>
          <w:tcPr>
            <w:tcW w:type="dxa" w:w="102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Novo Ato Normativo </w:t>
            </w:r>
          </w:p>
        </w:tc>
      </w:tr>
      <w:tr>
        <w:trPr>
          <w:trHeight w:hRule="exact" w:val="278"/>
        </w:trPr>
        <w:tc>
          <w:tcPr>
            <w:tcW w:type="dxa" w:w="710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02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Atendimento às NRs ANA </w:t>
            </w:r>
          </w:p>
        </w:tc>
      </w:tr>
      <w:tr>
        <w:trPr>
          <w:trHeight w:hRule="exact" w:val="280"/>
        </w:trPr>
        <w:tc>
          <w:tcPr>
            <w:tcW w:type="dxa" w:w="3972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Objetivo(s) Estratégico(s) vinculado(s) </w:t>
            </w:r>
          </w:p>
        </w:tc>
        <w:tc>
          <w:tcPr>
            <w:tcW w:type="dxa" w:w="102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1. Promover o amplo acesso à prestação de serviços públicos regulados com modicidade tarifária </w:t>
            </w:r>
          </w:p>
        </w:tc>
      </w:tr>
      <w:tr>
        <w:trPr>
          <w:trHeight w:hRule="exact" w:val="276"/>
        </w:trPr>
        <w:tc>
          <w:tcPr>
            <w:tcW w:type="dxa" w:w="7103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2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3. Contribuir com a segurança hídrica e a universalização do saneamento básico </w:t>
            </w:r>
          </w:p>
        </w:tc>
      </w:tr>
      <w:tr>
        <w:trPr>
          <w:trHeight w:hRule="exact" w:val="280"/>
        </w:trPr>
        <w:tc>
          <w:tcPr>
            <w:tcW w:type="dxa" w:w="39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Previsão de Entrega </w:t>
            </w:r>
          </w:p>
        </w:tc>
        <w:tc>
          <w:tcPr>
            <w:tcW w:type="dxa" w:w="102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1º S / 2027 </w:t>
            </w:r>
          </w:p>
        </w:tc>
      </w:tr>
    </w:tbl>
    <w:p>
      <w:pPr>
        <w:autoSpaceDN w:val="0"/>
        <w:autoSpaceDE w:val="0"/>
        <w:widowControl/>
        <w:spacing w:line="8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7103"/>
        <w:gridCol w:w="7103"/>
      </w:tblGrid>
      <w:tr>
        <w:trPr>
          <w:trHeight w:hRule="exact" w:val="280"/>
        </w:trPr>
        <w:tc>
          <w:tcPr>
            <w:tcW w:type="dxa" w:w="39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22"/>
              </w:rPr>
              <w:t xml:space="preserve">Título Projeto </w:t>
            </w:r>
          </w:p>
        </w:tc>
        <w:tc>
          <w:tcPr>
            <w:tcW w:type="dxa" w:w="102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22"/>
              </w:rPr>
              <w:t xml:space="preserve">1.10. Aprimoramentos à Resolução ARES-PCJ nº 592/2024 </w:t>
            </w:r>
          </w:p>
        </w:tc>
      </w:tr>
      <w:tr>
        <w:trPr>
          <w:trHeight w:hRule="exact" w:val="278"/>
        </w:trPr>
        <w:tc>
          <w:tcPr>
            <w:tcW w:type="dxa" w:w="397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8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Tema Regulatório </w:t>
            </w:r>
          </w:p>
        </w:tc>
        <w:tc>
          <w:tcPr>
            <w:tcW w:type="dxa" w:w="102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Regulação de tarifas e preços públicos (Água e Esgoto) </w:t>
            </w:r>
          </w:p>
        </w:tc>
      </w:tr>
      <w:tr>
        <w:trPr>
          <w:trHeight w:hRule="exact" w:val="276"/>
        </w:trPr>
        <w:tc>
          <w:tcPr>
            <w:tcW w:type="dxa" w:w="710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2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Fiscalização e Processo Sancionatório </w:t>
            </w:r>
          </w:p>
        </w:tc>
      </w:tr>
      <w:tr>
        <w:trPr>
          <w:trHeight w:hRule="exact" w:val="550"/>
        </w:trPr>
        <w:tc>
          <w:tcPr>
            <w:tcW w:type="dxa" w:w="39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4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02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O projeto tem como finalidade avaliar a necessidade de aprimoramentos à Resolução ARES-PCJ nº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592/2024 frente ao seu processo de implementação a outras determinantes que impactam sua adoção </w:t>
            </w:r>
          </w:p>
        </w:tc>
      </w:tr>
      <w:tr>
        <w:trPr>
          <w:trHeight w:hRule="exact" w:val="276"/>
        </w:trPr>
        <w:tc>
          <w:tcPr>
            <w:tcW w:type="dxa" w:w="397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6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Natureza do Projeto </w:t>
            </w:r>
          </w:p>
        </w:tc>
        <w:tc>
          <w:tcPr>
            <w:tcW w:type="dxa" w:w="102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Revisão de Ato Normativo </w:t>
            </w:r>
          </w:p>
        </w:tc>
      </w:tr>
      <w:tr>
        <w:trPr>
          <w:trHeight w:hRule="exact" w:val="280"/>
        </w:trPr>
        <w:tc>
          <w:tcPr>
            <w:tcW w:type="dxa" w:w="710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2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Regulamentos e Procedimentos </w:t>
            </w:r>
          </w:p>
        </w:tc>
      </w:tr>
      <w:tr>
        <w:trPr>
          <w:trHeight w:hRule="exact" w:val="278"/>
        </w:trPr>
        <w:tc>
          <w:tcPr>
            <w:tcW w:type="dxa" w:w="397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8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Objetivo(s) Estratégico(s) vinculado(s) </w:t>
            </w:r>
          </w:p>
        </w:tc>
        <w:tc>
          <w:tcPr>
            <w:tcW w:type="dxa" w:w="102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1. Promover o amplo acesso à prestação de serviços públicos regulados com modicidade tarifária </w:t>
            </w:r>
          </w:p>
        </w:tc>
      </w:tr>
      <w:tr>
        <w:trPr>
          <w:trHeight w:hRule="exact" w:val="278"/>
        </w:trPr>
        <w:tc>
          <w:tcPr>
            <w:tcW w:type="dxa" w:w="710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020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6. Fortalecer a excelência regulatória, fiscalizatória e normativa da Agência </w:t>
            </w:r>
          </w:p>
        </w:tc>
      </w:tr>
      <w:tr>
        <w:trPr>
          <w:trHeight w:hRule="exact" w:val="278"/>
        </w:trPr>
        <w:tc>
          <w:tcPr>
            <w:tcW w:type="dxa" w:w="39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Previsão de Entrega </w:t>
            </w:r>
          </w:p>
        </w:tc>
        <w:tc>
          <w:tcPr>
            <w:tcW w:type="dxa" w:w="102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1º S / 2027 </w:t>
            </w:r>
          </w:p>
        </w:tc>
      </w:tr>
    </w:tbl>
    <w:p>
      <w:pPr>
        <w:autoSpaceDN w:val="0"/>
        <w:tabs>
          <w:tab w:pos="11342" w:val="left"/>
        </w:tabs>
        <w:autoSpaceDE w:val="0"/>
        <w:widowControl/>
        <w:spacing w:line="197" w:lineRule="auto" w:before="2248" w:after="0"/>
        <w:ind w:left="17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688 – 18/02/2026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14 </w:t>
      </w:r>
    </w:p>
    <w:p>
      <w:pPr>
        <w:sectPr>
          <w:pgSz w:w="16838" w:h="11906"/>
          <w:pgMar w:top="164" w:right="1192" w:bottom="5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1457960</wp:posOffset>
            </wp:positionH>
            <wp:positionV relativeFrom="page">
              <wp:posOffset>6675120</wp:posOffset>
            </wp:positionV>
            <wp:extent cx="7739380" cy="986147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496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4213860</wp:posOffset>
            </wp:positionH>
            <wp:positionV relativeFrom="page">
              <wp:posOffset>209550</wp:posOffset>
            </wp:positionV>
            <wp:extent cx="2518410" cy="53975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8" w:lineRule="auto" w:before="260" w:after="256"/>
        <w:ind w:left="3156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EIXO 2 — PLANEJAMENTO SETORIAL, UNIVERSALIZAÇÃO E SEGURANÇA HÍDRICA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7069"/>
        <w:gridCol w:w="7069"/>
      </w:tblGrid>
      <w:tr>
        <w:trPr>
          <w:trHeight w:hRule="exact" w:val="280"/>
        </w:trPr>
        <w:tc>
          <w:tcPr>
            <w:tcW w:type="dxa" w:w="389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22"/>
              </w:rPr>
              <w:t xml:space="preserve">Título Projeto </w:t>
            </w:r>
          </w:p>
        </w:tc>
        <w:tc>
          <w:tcPr>
            <w:tcW w:type="dxa" w:w="102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22"/>
              </w:rPr>
              <w:t xml:space="preserve">2.1. Conteúdo Mínimo PMSBs </w:t>
            </w:r>
          </w:p>
        </w:tc>
      </w:tr>
      <w:tr>
        <w:trPr>
          <w:trHeight w:hRule="exact" w:val="280"/>
        </w:trPr>
        <w:tc>
          <w:tcPr>
            <w:tcW w:type="dxa" w:w="389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Tema Regulatório </w:t>
            </w:r>
          </w:p>
        </w:tc>
        <w:tc>
          <w:tcPr>
            <w:tcW w:type="dxa" w:w="102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Planejamento e gestão da política pública de saneamento básico </w:t>
            </w:r>
          </w:p>
        </w:tc>
      </w:tr>
      <w:tr>
        <w:trPr>
          <w:trHeight w:hRule="exact" w:val="814"/>
        </w:trPr>
        <w:tc>
          <w:tcPr>
            <w:tcW w:type="dxa" w:w="389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64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02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Introduzir no escopo normativo da Agência diretrizes sobre o conteúdo mínimo dos PMSBs, de modo a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atender aspectos regulatórios e institucionais. Necessidade de regulamentar o tema em complemento à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edição da Resolução ARES-PCJ nº 650/2025 </w:t>
            </w:r>
          </w:p>
        </w:tc>
      </w:tr>
      <w:tr>
        <w:trPr>
          <w:trHeight w:hRule="exact" w:val="278"/>
        </w:trPr>
        <w:tc>
          <w:tcPr>
            <w:tcW w:type="dxa" w:w="3898"/>
            <w:vMerge w:val="restart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Natureza do Projeto </w:t>
            </w:r>
          </w:p>
        </w:tc>
        <w:tc>
          <w:tcPr>
            <w:tcW w:type="dxa" w:w="1020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Novo Ato Normativo </w:t>
            </w:r>
          </w:p>
        </w:tc>
      </w:tr>
      <w:tr>
        <w:trPr>
          <w:trHeight w:hRule="exact" w:val="280"/>
        </w:trPr>
        <w:tc>
          <w:tcPr>
            <w:tcW w:type="dxa" w:w="7069"/>
            <w:vMerge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2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Regulamentos e Procedimentos </w:t>
            </w:r>
          </w:p>
        </w:tc>
      </w:tr>
      <w:tr>
        <w:trPr>
          <w:trHeight w:hRule="exact" w:val="280"/>
        </w:trPr>
        <w:tc>
          <w:tcPr>
            <w:tcW w:type="dxa" w:w="3898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576" w:right="576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Objetivo(s) Estratégico(s) </w:t>
            </w: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vinculado(s) </w:t>
            </w:r>
          </w:p>
        </w:tc>
        <w:tc>
          <w:tcPr>
            <w:tcW w:type="dxa" w:w="102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3. Contribuir com a segurança hídrica e a universalização do saneamento básico </w:t>
            </w:r>
          </w:p>
        </w:tc>
      </w:tr>
      <w:tr>
        <w:trPr>
          <w:trHeight w:hRule="exact" w:val="278"/>
        </w:trPr>
        <w:tc>
          <w:tcPr>
            <w:tcW w:type="dxa" w:w="7069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2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6. Fortalecer a excelência regulatória, fiscalizatória e normativa da Agência </w:t>
            </w:r>
          </w:p>
        </w:tc>
      </w:tr>
      <w:tr>
        <w:trPr>
          <w:trHeight w:hRule="exact" w:val="274"/>
        </w:trPr>
        <w:tc>
          <w:tcPr>
            <w:tcW w:type="dxa" w:w="3898"/>
            <w:tcBorders>
              <w:start w:sz="3.2000000000000455" w:val="single" w:color="#000000"/>
              <w:top w:sz="4.0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Previsão de Entrega </w:t>
            </w:r>
          </w:p>
        </w:tc>
        <w:tc>
          <w:tcPr>
            <w:tcW w:type="dxa" w:w="10202"/>
            <w:tcBorders>
              <w:start w:sz="4.0" w:val="single" w:color="#000000"/>
              <w:top w:sz="4.0" w:val="single" w:color="#000000"/>
              <w:end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1º S / 2026 </w:t>
            </w:r>
          </w:p>
        </w:tc>
      </w:tr>
    </w:tbl>
    <w:p>
      <w:pPr>
        <w:autoSpaceDN w:val="0"/>
        <w:autoSpaceDE w:val="0"/>
        <w:widowControl/>
        <w:spacing w:line="60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7069"/>
        <w:gridCol w:w="7069"/>
      </w:tblGrid>
      <w:tr>
        <w:trPr>
          <w:trHeight w:hRule="exact" w:val="280"/>
        </w:trPr>
        <w:tc>
          <w:tcPr>
            <w:tcW w:type="dxa" w:w="389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22"/>
              </w:rPr>
              <w:t xml:space="preserve">Título Projeto </w:t>
            </w:r>
          </w:p>
        </w:tc>
        <w:tc>
          <w:tcPr>
            <w:tcW w:type="dxa" w:w="102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22"/>
              </w:rPr>
              <w:t xml:space="preserve">2.2. Procedimentos Regulatórios - Escassez Hídrica e Desabastecimento de Água </w:t>
            </w:r>
          </w:p>
        </w:tc>
      </w:tr>
      <w:tr>
        <w:trPr>
          <w:trHeight w:hRule="exact" w:val="280"/>
        </w:trPr>
        <w:tc>
          <w:tcPr>
            <w:tcW w:type="dxa" w:w="3898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8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Tema Regulatório </w:t>
            </w:r>
          </w:p>
        </w:tc>
        <w:tc>
          <w:tcPr>
            <w:tcW w:type="dxa" w:w="102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Planejamento e gestão da política pública de saneamento básico </w:t>
            </w:r>
          </w:p>
        </w:tc>
      </w:tr>
      <w:tr>
        <w:trPr>
          <w:trHeight w:hRule="exact" w:val="280"/>
        </w:trPr>
        <w:tc>
          <w:tcPr>
            <w:tcW w:type="dxa" w:w="7069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02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Condições gerais de água e esgoto </w:t>
            </w:r>
          </w:p>
        </w:tc>
      </w:tr>
      <w:tr>
        <w:trPr>
          <w:trHeight w:hRule="exact" w:val="278"/>
        </w:trPr>
        <w:tc>
          <w:tcPr>
            <w:tcW w:type="dxa" w:w="7069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02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Ouvidoria e atendimento aos usuários </w:t>
            </w:r>
          </w:p>
        </w:tc>
      </w:tr>
      <w:tr>
        <w:trPr>
          <w:trHeight w:hRule="exact" w:val="812"/>
        </w:trPr>
        <w:tc>
          <w:tcPr>
            <w:tcW w:type="dxa" w:w="389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68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020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Definir os marcos da ação regulatória em face da ocorrência de eventos de desabastecimento de água,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abrangendo os cenários de escassez hídrica e aspectos associados ao planejamento e operação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adequada dos serviços públicos. </w:t>
            </w:r>
          </w:p>
        </w:tc>
      </w:tr>
      <w:tr>
        <w:trPr>
          <w:trHeight w:hRule="exact" w:val="284"/>
        </w:trPr>
        <w:tc>
          <w:tcPr>
            <w:tcW w:type="dxa" w:w="3898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42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Natureza do Projeto </w:t>
            </w:r>
          </w:p>
        </w:tc>
        <w:tc>
          <w:tcPr>
            <w:tcW w:type="dxa" w:w="102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4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Novo Ato Normativo </w:t>
            </w:r>
          </w:p>
        </w:tc>
      </w:tr>
      <w:tr>
        <w:trPr>
          <w:trHeight w:hRule="exact" w:val="276"/>
        </w:trPr>
        <w:tc>
          <w:tcPr>
            <w:tcW w:type="dxa" w:w="7069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2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Regulamentos e Procedimentos </w:t>
            </w:r>
          </w:p>
        </w:tc>
      </w:tr>
      <w:tr>
        <w:trPr>
          <w:trHeight w:hRule="exact" w:val="280"/>
        </w:trPr>
        <w:tc>
          <w:tcPr>
            <w:tcW w:type="dxa" w:w="3898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0" w:after="0"/>
              <w:ind w:left="576" w:right="576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Objetivo(s) Estratégico(s) </w:t>
            </w: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vinculado(s) </w:t>
            </w:r>
          </w:p>
        </w:tc>
        <w:tc>
          <w:tcPr>
            <w:tcW w:type="dxa" w:w="102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3. Contribuir com a segurança hídrica e a universalização do saneamento básico </w:t>
            </w:r>
          </w:p>
        </w:tc>
      </w:tr>
      <w:tr>
        <w:trPr>
          <w:trHeight w:hRule="exact" w:val="546"/>
        </w:trPr>
        <w:tc>
          <w:tcPr>
            <w:tcW w:type="dxa" w:w="7069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0202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32" w:right="432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2. Contribuir para a qualidade dos serviços públicos regulados com transparência e participação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social </w:t>
            </w:r>
          </w:p>
        </w:tc>
      </w:tr>
      <w:tr>
        <w:trPr>
          <w:trHeight w:hRule="exact" w:val="278"/>
        </w:trPr>
        <w:tc>
          <w:tcPr>
            <w:tcW w:type="dxa" w:w="389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Previsão de Entrega </w:t>
            </w:r>
          </w:p>
        </w:tc>
        <w:tc>
          <w:tcPr>
            <w:tcW w:type="dxa" w:w="1020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1º S / 2026 </w:t>
            </w:r>
          </w:p>
        </w:tc>
      </w:tr>
    </w:tbl>
    <w:p>
      <w:pPr>
        <w:autoSpaceDN w:val="0"/>
        <w:tabs>
          <w:tab w:pos="11356" w:val="left"/>
        </w:tabs>
        <w:autoSpaceDE w:val="0"/>
        <w:widowControl/>
        <w:spacing w:line="197" w:lineRule="auto" w:before="1708" w:after="0"/>
        <w:ind w:left="17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688 – 18/02/2026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15 </w:t>
      </w:r>
    </w:p>
    <w:p>
      <w:pPr>
        <w:sectPr>
          <w:pgSz w:w="16838" w:h="11906"/>
          <w:pgMar w:top="164" w:right="1274" w:bottom="510" w:left="14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1457960</wp:posOffset>
            </wp:positionH>
            <wp:positionV relativeFrom="page">
              <wp:posOffset>6675120</wp:posOffset>
            </wp:positionV>
            <wp:extent cx="7739380" cy="986147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60"/>
        <w:ind w:left="0" w:right="50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4213860</wp:posOffset>
            </wp:positionH>
            <wp:positionV relativeFrom="page">
              <wp:posOffset>209550</wp:posOffset>
            </wp:positionV>
            <wp:extent cx="2518410" cy="53975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7105"/>
        <w:gridCol w:w="7105"/>
      </w:tblGrid>
      <w:tr>
        <w:trPr>
          <w:trHeight w:hRule="exact" w:val="280"/>
        </w:trPr>
        <w:tc>
          <w:tcPr>
            <w:tcW w:type="dxa" w:w="396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22"/>
              </w:rPr>
              <w:t xml:space="preserve">Título Projeto </w:t>
            </w:r>
          </w:p>
        </w:tc>
        <w:tc>
          <w:tcPr>
            <w:tcW w:type="dxa" w:w="1021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22"/>
              </w:rPr>
              <w:t xml:space="preserve">2.3. Adoção da NR ANA nº 15/2025 - Redução Progressiva e Controle de Perdas de Água </w:t>
            </w:r>
          </w:p>
        </w:tc>
      </w:tr>
      <w:tr>
        <w:trPr>
          <w:trHeight w:hRule="exact" w:val="278"/>
        </w:trPr>
        <w:tc>
          <w:tcPr>
            <w:tcW w:type="dxa" w:w="3966"/>
            <w:vMerge w:val="restart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9999999999998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76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Tema Regulatório </w:t>
            </w:r>
          </w:p>
        </w:tc>
        <w:tc>
          <w:tcPr>
            <w:tcW w:type="dxa" w:w="1021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Indicadores operacionais e eficiência </w:t>
            </w:r>
          </w:p>
        </w:tc>
      </w:tr>
      <w:tr>
        <w:trPr>
          <w:trHeight w:hRule="exact" w:val="278"/>
        </w:trPr>
        <w:tc>
          <w:tcPr>
            <w:tcW w:type="dxa" w:w="7105"/>
            <w:vMerge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9999999999998863" w:val="single" w:color="#000000"/>
            </w:tcBorders>
          </w:tcPr>
          <w:p/>
        </w:tc>
        <w:tc>
          <w:tcPr>
            <w:tcW w:type="dxa" w:w="10210"/>
            <w:tcBorders>
              <w:start w:sz="3.199999999999818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Condições gerais de água e esgoto </w:t>
            </w:r>
          </w:p>
        </w:tc>
      </w:tr>
      <w:tr>
        <w:trPr>
          <w:trHeight w:hRule="exact" w:val="278"/>
        </w:trPr>
        <w:tc>
          <w:tcPr>
            <w:tcW w:type="dxa" w:w="7105"/>
            <w:vMerge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9999999999998863" w:val="single" w:color="#000000"/>
            </w:tcBorders>
          </w:tcPr>
          <w:p/>
        </w:tc>
        <w:tc>
          <w:tcPr>
            <w:tcW w:type="dxa" w:w="1021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9999999999998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Planejamento e gestão da política pública de saneamento básico </w:t>
            </w:r>
          </w:p>
        </w:tc>
      </w:tr>
      <w:tr>
        <w:trPr>
          <w:trHeight w:hRule="exact" w:val="1086"/>
        </w:trPr>
        <w:tc>
          <w:tcPr>
            <w:tcW w:type="dxa" w:w="3966"/>
            <w:tcBorders>
              <w:start w:sz="3.2000000000000455" w:val="single" w:color="#000000"/>
              <w:top w:sz="3.999999999999886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402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0210"/>
            <w:tcBorders>
              <w:start w:sz="3.199999999999818" w:val="single" w:color="#000000"/>
              <w:top w:sz="3.999999999999886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O projeto tem por objetivo incorporar as diretrizes da NR ANA nº 15/2025 relativas à redução progressiva e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ao controle de perdas de água nos sistemas de abastecimento. Envolve a definição de procedimentos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regulatórios para diagnóstico, monitoramento e avaliação dos planos de gestão de perdas apresentados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pelos prestadores. </w:t>
            </w:r>
          </w:p>
        </w:tc>
      </w:tr>
      <w:tr>
        <w:trPr>
          <w:trHeight w:hRule="exact" w:val="280"/>
        </w:trPr>
        <w:tc>
          <w:tcPr>
            <w:tcW w:type="dxa" w:w="3966"/>
            <w:vMerge w:val="restart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418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Natureza do Projeto </w:t>
            </w:r>
          </w:p>
        </w:tc>
        <w:tc>
          <w:tcPr>
            <w:tcW w:type="dxa" w:w="1021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Novo Ato Normativo </w:t>
            </w:r>
          </w:p>
        </w:tc>
      </w:tr>
      <w:tr>
        <w:trPr>
          <w:trHeight w:hRule="exact" w:val="278"/>
        </w:trPr>
        <w:tc>
          <w:tcPr>
            <w:tcW w:type="dxa" w:w="7105"/>
            <w:vMerge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</w:tcPr>
          <w:p/>
        </w:tc>
        <w:tc>
          <w:tcPr>
            <w:tcW w:type="dxa" w:w="1021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Revisão de Ato Normativo </w:t>
            </w:r>
          </w:p>
        </w:tc>
      </w:tr>
      <w:tr>
        <w:trPr>
          <w:trHeight w:hRule="exact" w:val="276"/>
        </w:trPr>
        <w:tc>
          <w:tcPr>
            <w:tcW w:type="dxa" w:w="7105"/>
            <w:vMerge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</w:tcPr>
          <w:p/>
        </w:tc>
        <w:tc>
          <w:tcPr>
            <w:tcW w:type="dxa" w:w="1021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Regulamentos e Procedimentos </w:t>
            </w:r>
          </w:p>
        </w:tc>
      </w:tr>
      <w:tr>
        <w:trPr>
          <w:trHeight w:hRule="exact" w:val="280"/>
        </w:trPr>
        <w:tc>
          <w:tcPr>
            <w:tcW w:type="dxa" w:w="7105"/>
            <w:vMerge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</w:tcPr>
          <w:p/>
        </w:tc>
        <w:tc>
          <w:tcPr>
            <w:tcW w:type="dxa" w:w="1021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Atendimento às NRs ANA </w:t>
            </w:r>
          </w:p>
        </w:tc>
      </w:tr>
      <w:tr>
        <w:trPr>
          <w:trHeight w:hRule="exact" w:val="278"/>
        </w:trPr>
        <w:tc>
          <w:tcPr>
            <w:tcW w:type="dxa" w:w="3966"/>
            <w:vMerge w:val="restart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78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Objetivo(s) Estratégico(s) vinculado(s) </w:t>
            </w:r>
          </w:p>
        </w:tc>
        <w:tc>
          <w:tcPr>
            <w:tcW w:type="dxa" w:w="10210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1. Promover o amplo acesso à prestação de serviços públicos regulados com modicidade tarifária </w:t>
            </w:r>
          </w:p>
        </w:tc>
      </w:tr>
      <w:tr>
        <w:trPr>
          <w:trHeight w:hRule="exact" w:val="280"/>
        </w:trPr>
        <w:tc>
          <w:tcPr>
            <w:tcW w:type="dxa" w:w="7105"/>
            <w:vMerge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021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3. Contribuir com a segurança hídrica e a universalização do saneamento básico </w:t>
            </w:r>
          </w:p>
        </w:tc>
      </w:tr>
      <w:tr>
        <w:trPr>
          <w:trHeight w:hRule="exact" w:val="276"/>
        </w:trPr>
        <w:tc>
          <w:tcPr>
            <w:tcW w:type="dxa" w:w="7105"/>
            <w:vMerge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021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6. Fortalecer a excelência regulatória, fiscalizatória e normativa da Agência </w:t>
            </w:r>
          </w:p>
        </w:tc>
      </w:tr>
      <w:tr>
        <w:trPr>
          <w:trHeight w:hRule="exact" w:val="280"/>
        </w:trPr>
        <w:tc>
          <w:tcPr>
            <w:tcW w:type="dxa" w:w="396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Previsão de Entrega </w:t>
            </w:r>
          </w:p>
        </w:tc>
        <w:tc>
          <w:tcPr>
            <w:tcW w:type="dxa" w:w="1021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2º S / 2026 </w:t>
            </w:r>
          </w:p>
        </w:tc>
      </w:tr>
    </w:tbl>
    <w:p>
      <w:pPr>
        <w:autoSpaceDN w:val="0"/>
        <w:autoSpaceDE w:val="0"/>
        <w:widowControl/>
        <w:spacing w:line="2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7105"/>
        <w:gridCol w:w="7105"/>
      </w:tblGrid>
      <w:tr>
        <w:trPr>
          <w:trHeight w:hRule="exact" w:val="280"/>
        </w:trPr>
        <w:tc>
          <w:tcPr>
            <w:tcW w:type="dxa" w:w="39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22"/>
              </w:rPr>
              <w:t xml:space="preserve">Título Projeto </w:t>
            </w:r>
          </w:p>
        </w:tc>
        <w:tc>
          <w:tcPr>
            <w:tcW w:type="dxa" w:w="102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22"/>
              </w:rPr>
              <w:t xml:space="preserve">2.4. Estruturação dos Serviços Públicos de Drenagem e Manejo de Águas Pluviais Urbanas </w:t>
            </w:r>
          </w:p>
        </w:tc>
      </w:tr>
      <w:tr>
        <w:trPr>
          <w:trHeight w:hRule="exact" w:val="276"/>
        </w:trPr>
        <w:tc>
          <w:tcPr>
            <w:tcW w:type="dxa" w:w="397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6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Tema Regulatório </w:t>
            </w:r>
          </w:p>
        </w:tc>
        <w:tc>
          <w:tcPr>
            <w:tcW w:type="dxa" w:w="102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Condições gerais dos serviços públicos de drenagem e manejo de águas pluviais urbanas </w:t>
            </w:r>
          </w:p>
        </w:tc>
      </w:tr>
      <w:tr>
        <w:trPr>
          <w:trHeight w:hRule="exact" w:val="280"/>
        </w:trPr>
        <w:tc>
          <w:tcPr>
            <w:tcW w:type="dxa" w:w="71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2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Planejamento e gestão da política pública de saneamento básico </w:t>
            </w:r>
          </w:p>
        </w:tc>
      </w:tr>
      <w:tr>
        <w:trPr>
          <w:trHeight w:hRule="exact" w:val="1084"/>
        </w:trPr>
        <w:tc>
          <w:tcPr>
            <w:tcW w:type="dxa" w:w="39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402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02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288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O projeto tem como finalidade estruturar o arcabouço regulatório aplicável aos serviços públicos de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drenagem e manejo de águas pluviais urbanas, considerando suas especificidades técnicas,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institucionais e de financiamento. Busca-se estabelecer bases normativas iniciais para organização,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prestação e fiscalização desses serviços. </w:t>
            </w:r>
          </w:p>
        </w:tc>
      </w:tr>
      <w:tr>
        <w:trPr>
          <w:trHeight w:hRule="exact" w:val="280"/>
        </w:trPr>
        <w:tc>
          <w:tcPr>
            <w:tcW w:type="dxa" w:w="397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416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Natureza do Projeto </w:t>
            </w:r>
          </w:p>
        </w:tc>
        <w:tc>
          <w:tcPr>
            <w:tcW w:type="dxa" w:w="102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Estudos e Publicações </w:t>
            </w:r>
          </w:p>
        </w:tc>
      </w:tr>
      <w:tr>
        <w:trPr>
          <w:trHeight w:hRule="exact" w:val="276"/>
        </w:trPr>
        <w:tc>
          <w:tcPr>
            <w:tcW w:type="dxa" w:w="71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2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Regulamentos e Procedimentos </w:t>
            </w:r>
          </w:p>
        </w:tc>
      </w:tr>
      <w:tr>
        <w:trPr>
          <w:trHeight w:hRule="exact" w:val="280"/>
        </w:trPr>
        <w:tc>
          <w:tcPr>
            <w:tcW w:type="dxa" w:w="71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2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Novo Ato Normativo </w:t>
            </w:r>
          </w:p>
        </w:tc>
      </w:tr>
      <w:tr>
        <w:trPr>
          <w:trHeight w:hRule="exact" w:val="280"/>
        </w:trPr>
        <w:tc>
          <w:tcPr>
            <w:tcW w:type="dxa" w:w="71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2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Atendimento às NRs ANA </w:t>
            </w:r>
          </w:p>
        </w:tc>
      </w:tr>
      <w:tr>
        <w:trPr>
          <w:trHeight w:hRule="exact" w:val="276"/>
        </w:trPr>
        <w:tc>
          <w:tcPr>
            <w:tcW w:type="dxa" w:w="397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8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Objetivo(s) Estratégico(s) vinculado(s) </w:t>
            </w:r>
          </w:p>
        </w:tc>
        <w:tc>
          <w:tcPr>
            <w:tcW w:type="dxa" w:w="102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2. Contribuir para a qualidade dos serviços públicos regulados com transparência e participação social </w:t>
            </w:r>
          </w:p>
        </w:tc>
      </w:tr>
      <w:tr>
        <w:trPr>
          <w:trHeight w:hRule="exact" w:val="278"/>
        </w:trPr>
        <w:tc>
          <w:tcPr>
            <w:tcW w:type="dxa" w:w="71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2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4. Promover desenvolvimento com responsabilidade socioambiental </w:t>
            </w:r>
          </w:p>
        </w:tc>
      </w:tr>
      <w:tr>
        <w:trPr>
          <w:trHeight w:hRule="exact" w:val="280"/>
        </w:trPr>
        <w:tc>
          <w:tcPr>
            <w:tcW w:type="dxa" w:w="397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Previsão de Entrega </w:t>
            </w:r>
          </w:p>
        </w:tc>
        <w:tc>
          <w:tcPr>
            <w:tcW w:type="dxa" w:w="102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2º S / 2027 </w:t>
            </w:r>
          </w:p>
        </w:tc>
      </w:tr>
    </w:tbl>
    <w:p>
      <w:pPr>
        <w:autoSpaceDN w:val="0"/>
        <w:tabs>
          <w:tab w:pos="11346" w:val="left"/>
        </w:tabs>
        <w:autoSpaceDE w:val="0"/>
        <w:widowControl/>
        <w:spacing w:line="197" w:lineRule="auto" w:before="658" w:after="0"/>
        <w:ind w:left="170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688 – 18/02/2026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16 </w:t>
      </w:r>
    </w:p>
    <w:p>
      <w:pPr>
        <w:sectPr>
          <w:pgSz w:w="16838" w:h="11906"/>
          <w:pgMar w:top="164" w:right="1192" w:bottom="51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1457960</wp:posOffset>
            </wp:positionH>
            <wp:positionV relativeFrom="page">
              <wp:posOffset>6675120</wp:posOffset>
            </wp:positionV>
            <wp:extent cx="7739380" cy="986147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60"/>
        <w:ind w:left="0" w:right="504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4213860</wp:posOffset>
            </wp:positionH>
            <wp:positionV relativeFrom="page">
              <wp:posOffset>209550</wp:posOffset>
            </wp:positionV>
            <wp:extent cx="2518410" cy="53975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7102"/>
        <w:gridCol w:w="7102"/>
      </w:tblGrid>
      <w:tr>
        <w:trPr>
          <w:trHeight w:hRule="exact" w:val="280"/>
        </w:trPr>
        <w:tc>
          <w:tcPr>
            <w:tcW w:type="dxa" w:w="3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22"/>
              </w:rPr>
              <w:t xml:space="preserve">Título Projeto </w:t>
            </w:r>
          </w:p>
        </w:tc>
        <w:tc>
          <w:tcPr>
            <w:tcW w:type="dxa" w:w="10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22"/>
              </w:rPr>
              <w:t xml:space="preserve">2.5. Regulamentação e Incentivo a água de reúso </w:t>
            </w:r>
          </w:p>
        </w:tc>
      </w:tr>
      <w:tr>
        <w:trPr>
          <w:trHeight w:hRule="exact" w:val="278"/>
        </w:trPr>
        <w:tc>
          <w:tcPr>
            <w:tcW w:type="dxa" w:w="396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6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Tema Regulatório </w:t>
            </w:r>
          </w:p>
        </w:tc>
        <w:tc>
          <w:tcPr>
            <w:tcW w:type="dxa" w:w="10208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Planejamento e gestão da política pública de saneamento básico </w:t>
            </w:r>
          </w:p>
        </w:tc>
      </w:tr>
      <w:tr>
        <w:trPr>
          <w:trHeight w:hRule="exact" w:val="278"/>
        </w:trPr>
        <w:tc>
          <w:tcPr>
            <w:tcW w:type="dxa" w:w="710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208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Condições gerais de água e esgoto </w:t>
            </w:r>
          </w:p>
        </w:tc>
      </w:tr>
      <w:tr>
        <w:trPr>
          <w:trHeight w:hRule="exact" w:val="1084"/>
        </w:trPr>
        <w:tc>
          <w:tcPr>
            <w:tcW w:type="dxa" w:w="3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404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0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Instituir um arcabouço normativo consistente para a geração e aplicação da água de reuso, abrangendo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as modalidades não potável e potável indireta. O texto deve estabelecer critérios técnicos e regulatórios,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prever mecanismos de concessão de autorização, garantir processos de fiscalização e assegurar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transparência, alinhando-se às diretrizes das normas de referência da ANA pertinentes ao tema. </w:t>
            </w:r>
          </w:p>
        </w:tc>
      </w:tr>
      <w:tr>
        <w:trPr>
          <w:trHeight w:hRule="exact" w:val="280"/>
        </w:trPr>
        <w:tc>
          <w:tcPr>
            <w:tcW w:type="dxa" w:w="396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4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Natureza do Projeto </w:t>
            </w:r>
          </w:p>
        </w:tc>
        <w:tc>
          <w:tcPr>
            <w:tcW w:type="dxa" w:w="10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Novo Ato Normativo </w:t>
            </w:r>
          </w:p>
        </w:tc>
      </w:tr>
      <w:tr>
        <w:trPr>
          <w:trHeight w:hRule="exact" w:val="280"/>
        </w:trPr>
        <w:tc>
          <w:tcPr>
            <w:tcW w:type="dxa" w:w="710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Regulamentos e Procedimentos </w:t>
            </w:r>
          </w:p>
        </w:tc>
      </w:tr>
      <w:tr>
        <w:trPr>
          <w:trHeight w:hRule="exact" w:val="278"/>
        </w:trPr>
        <w:tc>
          <w:tcPr>
            <w:tcW w:type="dxa" w:w="396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720" w:right="576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Objetivo(s) Estratégico(s) </w:t>
            </w: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vinculado(s) </w:t>
            </w:r>
          </w:p>
        </w:tc>
        <w:tc>
          <w:tcPr>
            <w:tcW w:type="dxa" w:w="10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3. Contribuir com a segurança hídrica e a universalização do saneamento básico </w:t>
            </w:r>
          </w:p>
        </w:tc>
      </w:tr>
      <w:tr>
        <w:trPr>
          <w:trHeight w:hRule="exact" w:val="276"/>
        </w:trPr>
        <w:tc>
          <w:tcPr>
            <w:tcW w:type="dxa" w:w="710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2. Contribuir para a qualidade dos serviços públicos regulados com transparência e participação social </w:t>
            </w:r>
          </w:p>
        </w:tc>
      </w:tr>
      <w:tr>
        <w:trPr>
          <w:trHeight w:hRule="exact" w:val="280"/>
        </w:trPr>
        <w:tc>
          <w:tcPr>
            <w:tcW w:type="dxa" w:w="396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Previsão de Entrega </w:t>
            </w:r>
          </w:p>
        </w:tc>
        <w:tc>
          <w:tcPr>
            <w:tcW w:type="dxa" w:w="1020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2º S / 2027 </w:t>
            </w:r>
          </w:p>
        </w:tc>
      </w:tr>
    </w:tbl>
    <w:p>
      <w:pPr>
        <w:autoSpaceDN w:val="0"/>
        <w:tabs>
          <w:tab w:pos="11342" w:val="left"/>
        </w:tabs>
        <w:autoSpaceDE w:val="0"/>
        <w:widowControl/>
        <w:spacing w:line="197" w:lineRule="auto" w:before="5922" w:after="0"/>
        <w:ind w:left="17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688 – 18/02/2026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17 </w:t>
      </w:r>
    </w:p>
    <w:p>
      <w:pPr>
        <w:sectPr>
          <w:pgSz w:w="16838" w:h="11906"/>
          <w:pgMar w:top="164" w:right="1194" w:bottom="5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1457960</wp:posOffset>
            </wp:positionH>
            <wp:positionV relativeFrom="page">
              <wp:posOffset>6675120</wp:posOffset>
            </wp:positionV>
            <wp:extent cx="7739380" cy="986147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50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4213860</wp:posOffset>
            </wp:positionH>
            <wp:positionV relativeFrom="page">
              <wp:posOffset>209550</wp:posOffset>
            </wp:positionV>
            <wp:extent cx="2518410" cy="53975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8" w:lineRule="auto" w:before="274" w:after="316"/>
        <w:ind w:left="3372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EIXO 3 — FISCALIZAÇÃO, QUALIDADE DOS SERVIÇOS E EFICIÊNCIA OPERACIONAL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7121"/>
        <w:gridCol w:w="7121"/>
      </w:tblGrid>
      <w:tr>
        <w:trPr>
          <w:trHeight w:hRule="exact" w:val="280"/>
        </w:trPr>
        <w:tc>
          <w:tcPr>
            <w:tcW w:type="dxa" w:w="14132"/>
            <w:gridSpan w:val="2"/>
            <w:tcBorders>
              <w:start w:sz="3.2000000000000455" w:val="single" w:color="#000000"/>
              <w:top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712" w:val="left"/>
              </w:tabs>
              <w:autoSpaceDE w:val="0"/>
              <w:widowControl/>
              <w:spacing w:line="226" w:lineRule="auto" w:before="0" w:after="0"/>
              <w:ind w:left="1290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22"/>
              </w:rPr>
              <w:t xml:space="preserve">Título Projeto </w:t>
            </w:r>
            <w:r>
              <w:tab/>
            </w:r>
            <w:r>
              <w:rPr>
                <w:rFonts w:ascii="Aptos" w:hAnsi="Aptos" w:eastAsia="Aptos"/>
                <w:b/>
                <w:i w:val="0"/>
                <w:color w:val="FFFFFF"/>
                <w:sz w:val="22"/>
              </w:rPr>
              <w:t xml:space="preserve">3.1. Fiscalização Evolutiva </w:t>
            </w:r>
          </w:p>
        </w:tc>
      </w:tr>
      <w:tr>
        <w:trPr>
          <w:trHeight w:hRule="exact" w:val="278"/>
        </w:trPr>
        <w:tc>
          <w:tcPr>
            <w:tcW w:type="dxa" w:w="3928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76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Tema Regulatório </w:t>
            </w:r>
          </w:p>
        </w:tc>
        <w:tc>
          <w:tcPr>
            <w:tcW w:type="dxa" w:w="7121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7121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2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Fiscalização e Processo Sancionatório </w:t>
            </w:r>
          </w:p>
        </w:tc>
      </w:tr>
      <w:tr>
        <w:trPr>
          <w:trHeight w:hRule="exact" w:val="276"/>
        </w:trPr>
        <w:tc>
          <w:tcPr>
            <w:tcW w:type="dxa" w:w="7121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2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Indicadores operacionais e eficiência </w:t>
            </w:r>
          </w:p>
        </w:tc>
      </w:tr>
      <w:tr>
        <w:trPr>
          <w:trHeight w:hRule="exact" w:val="1086"/>
        </w:trPr>
        <w:tc>
          <w:tcPr>
            <w:tcW w:type="dxa" w:w="39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402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02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O Projeto "Fiscalização Evolutiva" objetiva implementar procedimento de fiscalização regulatória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associado a aspectos de eficiência na gestão dos serviços públicos de abastecimento de água e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esgotamento sanitário, privilegiando aspectos de regulação responsiva e o incentivo à adoção de boas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práticas. </w:t>
            </w:r>
          </w:p>
        </w:tc>
      </w:tr>
      <w:tr>
        <w:trPr>
          <w:trHeight w:hRule="exact" w:val="280"/>
        </w:trPr>
        <w:tc>
          <w:tcPr>
            <w:tcW w:type="dxa" w:w="3928"/>
            <w:vMerge w:val="restart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78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Natureza do Projeto </w:t>
            </w:r>
          </w:p>
        </w:tc>
        <w:tc>
          <w:tcPr>
            <w:tcW w:type="dxa" w:w="102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Novo Ato Normativo </w:t>
            </w:r>
          </w:p>
        </w:tc>
      </w:tr>
      <w:tr>
        <w:trPr>
          <w:trHeight w:hRule="exact" w:val="278"/>
        </w:trPr>
        <w:tc>
          <w:tcPr>
            <w:tcW w:type="dxa" w:w="7121"/>
            <w:vMerge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2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Revisão de Ato Normativo </w:t>
            </w:r>
          </w:p>
        </w:tc>
      </w:tr>
      <w:tr>
        <w:trPr>
          <w:trHeight w:hRule="exact" w:val="276"/>
        </w:trPr>
        <w:tc>
          <w:tcPr>
            <w:tcW w:type="dxa" w:w="7121"/>
            <w:vMerge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2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Regulamentos e Procedimentos </w:t>
            </w:r>
          </w:p>
        </w:tc>
      </w:tr>
      <w:tr>
        <w:trPr>
          <w:trHeight w:hRule="exact" w:val="280"/>
        </w:trPr>
        <w:tc>
          <w:tcPr>
            <w:tcW w:type="dxa" w:w="3928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546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Objetivo(s) Estratégico(s) vinculado(s) </w:t>
            </w:r>
          </w:p>
        </w:tc>
        <w:tc>
          <w:tcPr>
            <w:tcW w:type="dxa" w:w="102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6. Fortalecer a excelência regulatória, fiscalizatória e normativa da Agência </w:t>
            </w:r>
          </w:p>
        </w:tc>
      </w:tr>
      <w:tr>
        <w:trPr>
          <w:trHeight w:hRule="exact" w:val="546"/>
        </w:trPr>
        <w:tc>
          <w:tcPr>
            <w:tcW w:type="dxa" w:w="7121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2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32" w:right="432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2. Contribuir para a qualidade dos serviços públicos regulados com transparência e participação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social </w:t>
            </w:r>
          </w:p>
        </w:tc>
      </w:tr>
      <w:tr>
        <w:trPr>
          <w:trHeight w:hRule="exact" w:val="548"/>
        </w:trPr>
        <w:tc>
          <w:tcPr>
            <w:tcW w:type="dxa" w:w="7121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2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288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8. Promover qualificação, treinamento e capacitação continuada para os colaboradores internos e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externos </w:t>
            </w:r>
          </w:p>
        </w:tc>
      </w:tr>
      <w:tr>
        <w:trPr>
          <w:trHeight w:hRule="exact" w:val="280"/>
        </w:trPr>
        <w:tc>
          <w:tcPr>
            <w:tcW w:type="dxa" w:w="392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Previsão de Entrega </w:t>
            </w:r>
          </w:p>
        </w:tc>
        <w:tc>
          <w:tcPr>
            <w:tcW w:type="dxa" w:w="102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1º S / 2026 </w:t>
            </w:r>
          </w:p>
        </w:tc>
      </w:tr>
    </w:tbl>
    <w:p>
      <w:pPr>
        <w:autoSpaceDN w:val="0"/>
        <w:autoSpaceDE w:val="0"/>
        <w:widowControl/>
        <w:spacing w:line="80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7121"/>
        <w:gridCol w:w="7121"/>
      </w:tblGrid>
      <w:tr>
        <w:trPr>
          <w:trHeight w:hRule="exact" w:val="276"/>
        </w:trPr>
        <w:tc>
          <w:tcPr>
            <w:tcW w:type="dxa" w:w="4004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22"/>
              </w:rPr>
              <w:t xml:space="preserve">Título Projeto </w:t>
            </w:r>
          </w:p>
        </w:tc>
        <w:tc>
          <w:tcPr>
            <w:tcW w:type="dxa" w:w="1020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22"/>
              </w:rPr>
              <w:t xml:space="preserve">3.2. Manual de Fiscalização (Abastecimento de Água e Esgotamento Sanitário) </w:t>
            </w:r>
          </w:p>
        </w:tc>
      </w:tr>
      <w:tr>
        <w:trPr>
          <w:trHeight w:hRule="exact" w:val="278"/>
        </w:trPr>
        <w:tc>
          <w:tcPr>
            <w:tcW w:type="dxa" w:w="4004"/>
            <w:vMerge w:val="restart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4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Tema Regulatório </w:t>
            </w:r>
          </w:p>
        </w:tc>
        <w:tc>
          <w:tcPr>
            <w:tcW w:type="dxa" w:w="1020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Fiscalização e Processo Sancionatório </w:t>
            </w:r>
          </w:p>
        </w:tc>
      </w:tr>
      <w:tr>
        <w:trPr>
          <w:trHeight w:hRule="exact" w:val="280"/>
        </w:trPr>
        <w:tc>
          <w:tcPr>
            <w:tcW w:type="dxa" w:w="7121"/>
            <w:vMerge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020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Condições gerais de água e esgoto </w:t>
            </w:r>
          </w:p>
        </w:tc>
      </w:tr>
      <w:tr>
        <w:trPr>
          <w:trHeight w:hRule="exact" w:val="280"/>
        </w:trPr>
        <w:tc>
          <w:tcPr>
            <w:tcW w:type="dxa" w:w="4004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020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Documento que visa garantir uniformidade e transparência aos procedimentos de fiscalização </w:t>
            </w:r>
          </w:p>
        </w:tc>
      </w:tr>
      <w:tr>
        <w:trPr>
          <w:trHeight w:hRule="exact" w:val="276"/>
        </w:trPr>
        <w:tc>
          <w:tcPr>
            <w:tcW w:type="dxa" w:w="4004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Natureza do Projeto </w:t>
            </w:r>
          </w:p>
        </w:tc>
        <w:tc>
          <w:tcPr>
            <w:tcW w:type="dxa" w:w="1020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Regulamentos e Procedimentos </w:t>
            </w:r>
          </w:p>
        </w:tc>
      </w:tr>
      <w:tr>
        <w:trPr>
          <w:trHeight w:hRule="exact" w:val="284"/>
        </w:trPr>
        <w:tc>
          <w:tcPr>
            <w:tcW w:type="dxa" w:w="4004"/>
            <w:vMerge w:val="restart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4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Objetivo(s) Estratégico(s) vinculado(s) </w:t>
            </w:r>
          </w:p>
        </w:tc>
        <w:tc>
          <w:tcPr>
            <w:tcW w:type="dxa" w:w="1020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4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6. Fortalecer a excelência regulatória, fiscalizatória e normativa da Agência </w:t>
            </w:r>
          </w:p>
        </w:tc>
      </w:tr>
      <w:tr>
        <w:trPr>
          <w:trHeight w:hRule="exact" w:val="276"/>
        </w:trPr>
        <w:tc>
          <w:tcPr>
            <w:tcW w:type="dxa" w:w="7121"/>
            <w:vMerge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020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5. Fortalecer e aperfeiçoar os processos de gerenciais e de suporte </w:t>
            </w:r>
          </w:p>
        </w:tc>
      </w:tr>
      <w:tr>
        <w:trPr>
          <w:trHeight w:hRule="exact" w:val="280"/>
        </w:trPr>
        <w:tc>
          <w:tcPr>
            <w:tcW w:type="dxa" w:w="4004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Previsão de Entrega </w:t>
            </w:r>
          </w:p>
        </w:tc>
        <w:tc>
          <w:tcPr>
            <w:tcW w:type="dxa" w:w="1020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1º S / 2026 </w:t>
            </w:r>
          </w:p>
        </w:tc>
      </w:tr>
    </w:tbl>
    <w:p>
      <w:pPr>
        <w:autoSpaceDN w:val="0"/>
        <w:tabs>
          <w:tab w:pos="11346" w:val="left"/>
        </w:tabs>
        <w:autoSpaceDE w:val="0"/>
        <w:widowControl/>
        <w:spacing w:line="197" w:lineRule="auto" w:before="902" w:after="0"/>
        <w:ind w:left="170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688 – 18/02/2026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18 </w:t>
      </w:r>
    </w:p>
    <w:p>
      <w:pPr>
        <w:sectPr>
          <w:pgSz w:w="16838" w:h="11906"/>
          <w:pgMar w:top="164" w:right="1160" w:bottom="51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1457960</wp:posOffset>
            </wp:positionH>
            <wp:positionV relativeFrom="page">
              <wp:posOffset>6675120</wp:posOffset>
            </wp:positionV>
            <wp:extent cx="7739380" cy="986147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60"/>
        <w:ind w:left="0" w:right="50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4213860</wp:posOffset>
            </wp:positionH>
            <wp:positionV relativeFrom="page">
              <wp:posOffset>209550</wp:posOffset>
            </wp:positionV>
            <wp:extent cx="2518410" cy="53975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7121"/>
        <w:gridCol w:w="7121"/>
      </w:tblGrid>
      <w:tr>
        <w:trPr>
          <w:trHeight w:hRule="exact" w:val="280"/>
        </w:trPr>
        <w:tc>
          <w:tcPr>
            <w:tcW w:type="dxa" w:w="4004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22"/>
              </w:rPr>
              <w:t xml:space="preserve">Título Projeto </w:t>
            </w:r>
          </w:p>
        </w:tc>
        <w:tc>
          <w:tcPr>
            <w:tcW w:type="dxa" w:w="1020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22"/>
              </w:rPr>
              <w:t xml:space="preserve">3.3. Manual de Fiscalização (Limpeza Urbana e Manejo de Resíduos Sólidos) </w:t>
            </w:r>
          </w:p>
        </w:tc>
      </w:tr>
      <w:tr>
        <w:trPr>
          <w:trHeight w:hRule="exact" w:val="278"/>
        </w:trPr>
        <w:tc>
          <w:tcPr>
            <w:tcW w:type="dxa" w:w="4004"/>
            <w:vMerge w:val="restart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6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Tema Regulatório </w:t>
            </w:r>
          </w:p>
        </w:tc>
        <w:tc>
          <w:tcPr>
            <w:tcW w:type="dxa" w:w="1020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Fiscalização e Processo Sancionatório </w:t>
            </w:r>
          </w:p>
        </w:tc>
      </w:tr>
      <w:tr>
        <w:trPr>
          <w:trHeight w:hRule="exact" w:val="278"/>
        </w:trPr>
        <w:tc>
          <w:tcPr>
            <w:tcW w:type="dxa" w:w="7121"/>
            <w:vMerge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0208"/>
            <w:tcBorders>
              <w:start w:sz="3.199999999999818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Condições gerais de resíduos sólidos </w:t>
            </w:r>
          </w:p>
        </w:tc>
      </w:tr>
      <w:tr>
        <w:trPr>
          <w:trHeight w:hRule="exact" w:val="278"/>
        </w:trPr>
        <w:tc>
          <w:tcPr>
            <w:tcW w:type="dxa" w:w="4004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9999999999998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020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9999999999998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Documento que visa garantir uniformidade e transparência aos procedimentos de fiscalização </w:t>
            </w:r>
          </w:p>
        </w:tc>
      </w:tr>
      <w:tr>
        <w:trPr>
          <w:trHeight w:hRule="exact" w:val="278"/>
        </w:trPr>
        <w:tc>
          <w:tcPr>
            <w:tcW w:type="dxa" w:w="4004"/>
            <w:tcBorders>
              <w:start w:sz="3.2000000000000455" w:val="single" w:color="#000000"/>
              <w:top w:sz="3.999999999999886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Natureza do Projeto </w:t>
            </w:r>
          </w:p>
        </w:tc>
        <w:tc>
          <w:tcPr>
            <w:tcW w:type="dxa" w:w="10208"/>
            <w:tcBorders>
              <w:start w:sz="3.199999999999818" w:val="single" w:color="#000000"/>
              <w:top w:sz="3.999999999999886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Regulamentos e Procedimentos </w:t>
            </w:r>
          </w:p>
        </w:tc>
      </w:tr>
      <w:tr>
        <w:trPr>
          <w:trHeight w:hRule="exact" w:val="280"/>
        </w:trPr>
        <w:tc>
          <w:tcPr>
            <w:tcW w:type="dxa" w:w="4004"/>
            <w:vMerge w:val="restart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8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Objetivo(s) Estratégico(s) vinculado(s) </w:t>
            </w:r>
          </w:p>
        </w:tc>
        <w:tc>
          <w:tcPr>
            <w:tcW w:type="dxa" w:w="1020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6. Fortalecer a excelência regulatória, fiscalizatória e normativa da Agência </w:t>
            </w:r>
          </w:p>
        </w:tc>
      </w:tr>
      <w:tr>
        <w:trPr>
          <w:trHeight w:hRule="exact" w:val="278"/>
        </w:trPr>
        <w:tc>
          <w:tcPr>
            <w:tcW w:type="dxa" w:w="7121"/>
            <w:vMerge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</w:tcPr>
          <w:p/>
        </w:tc>
        <w:tc>
          <w:tcPr>
            <w:tcW w:type="dxa" w:w="1020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5. Fortalecer e aperfeiçoar os processos de gerenciais e de suporte </w:t>
            </w:r>
          </w:p>
        </w:tc>
      </w:tr>
      <w:tr>
        <w:trPr>
          <w:trHeight w:hRule="exact" w:val="282"/>
        </w:trPr>
        <w:tc>
          <w:tcPr>
            <w:tcW w:type="dxa" w:w="4004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Previsão de Entrega </w:t>
            </w:r>
          </w:p>
        </w:tc>
        <w:tc>
          <w:tcPr>
            <w:tcW w:type="dxa" w:w="1020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1º S / 2026 </w:t>
            </w:r>
          </w:p>
        </w:tc>
      </w:tr>
    </w:tbl>
    <w:p>
      <w:pPr>
        <w:autoSpaceDN w:val="0"/>
        <w:autoSpaceDE w:val="0"/>
        <w:widowControl/>
        <w:spacing w:line="10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7121"/>
        <w:gridCol w:w="7121"/>
      </w:tblGrid>
      <w:tr>
        <w:trPr>
          <w:trHeight w:hRule="exact" w:val="278"/>
        </w:trPr>
        <w:tc>
          <w:tcPr>
            <w:tcW w:type="dxa" w:w="396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22"/>
              </w:rPr>
              <w:t xml:space="preserve">Título Projeto </w:t>
            </w:r>
          </w:p>
        </w:tc>
        <w:tc>
          <w:tcPr>
            <w:tcW w:type="dxa" w:w="1020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22"/>
              </w:rPr>
              <w:t xml:space="preserve">3.4. Manual de Avaliação de Investimentos </w:t>
            </w:r>
          </w:p>
        </w:tc>
      </w:tr>
      <w:tr>
        <w:trPr>
          <w:trHeight w:hRule="exact" w:val="280"/>
        </w:trPr>
        <w:tc>
          <w:tcPr>
            <w:tcW w:type="dxa" w:w="396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38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Tema Regulatório </w:t>
            </w:r>
          </w:p>
        </w:tc>
        <w:tc>
          <w:tcPr>
            <w:tcW w:type="dxa" w:w="10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Ouvidoria e atendimento aos usuários </w:t>
            </w:r>
          </w:p>
        </w:tc>
      </w:tr>
      <w:tr>
        <w:trPr>
          <w:trHeight w:hRule="exact" w:val="276"/>
        </w:trPr>
        <w:tc>
          <w:tcPr>
            <w:tcW w:type="dxa" w:w="712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Planejamento e gestão da política pública de saneamento básico </w:t>
            </w:r>
          </w:p>
        </w:tc>
      </w:tr>
      <w:tr>
        <w:trPr>
          <w:trHeight w:hRule="exact" w:val="816"/>
        </w:trPr>
        <w:tc>
          <w:tcPr>
            <w:tcW w:type="dxa" w:w="3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68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0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32" w:right="432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Documento orientado a balizar a forma de apresentação e análise dos projetos de investimentos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requisitados pelos prestadores públicos de serviços de saneamento para composição da receita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requerida em processos de Revisão Tarifária </w:t>
            </w:r>
          </w:p>
        </w:tc>
      </w:tr>
      <w:tr>
        <w:trPr>
          <w:trHeight w:hRule="exact" w:val="280"/>
        </w:trPr>
        <w:tc>
          <w:tcPr>
            <w:tcW w:type="dxa" w:w="3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Natureza do Projeto </w:t>
            </w:r>
          </w:p>
        </w:tc>
        <w:tc>
          <w:tcPr>
            <w:tcW w:type="dxa" w:w="10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Regulamentos e Procedimentos </w:t>
            </w:r>
          </w:p>
        </w:tc>
      </w:tr>
      <w:tr>
        <w:trPr>
          <w:trHeight w:hRule="exact" w:val="280"/>
        </w:trPr>
        <w:tc>
          <w:tcPr>
            <w:tcW w:type="dxa" w:w="396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8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Objetivo(s) Estratégico(s) vinculado(s) </w:t>
            </w:r>
          </w:p>
        </w:tc>
        <w:tc>
          <w:tcPr>
            <w:tcW w:type="dxa" w:w="10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6. Fortalecer a excelência regulatória, fiscalizatória e normativa da Agência </w:t>
            </w:r>
          </w:p>
        </w:tc>
      </w:tr>
      <w:tr>
        <w:trPr>
          <w:trHeight w:hRule="exact" w:val="280"/>
        </w:trPr>
        <w:tc>
          <w:tcPr>
            <w:tcW w:type="dxa" w:w="712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5. Fortalecer e aperfeiçoar os processos de gerenciais e de suporte </w:t>
            </w:r>
          </w:p>
        </w:tc>
      </w:tr>
      <w:tr>
        <w:trPr>
          <w:trHeight w:hRule="exact" w:val="276"/>
        </w:trPr>
        <w:tc>
          <w:tcPr>
            <w:tcW w:type="dxa" w:w="712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1. Promover o amplo acesso à prestação de serviços públicos regulados com modicidade tarifária </w:t>
            </w:r>
          </w:p>
        </w:tc>
      </w:tr>
      <w:tr>
        <w:trPr>
          <w:trHeight w:hRule="exact" w:val="278"/>
        </w:trPr>
        <w:tc>
          <w:tcPr>
            <w:tcW w:type="dxa" w:w="3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Previsão de Entrega </w:t>
            </w:r>
          </w:p>
        </w:tc>
        <w:tc>
          <w:tcPr>
            <w:tcW w:type="dxa" w:w="10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2º S / 2026 </w:t>
            </w:r>
          </w:p>
        </w:tc>
      </w:tr>
    </w:tbl>
    <w:p>
      <w:pPr>
        <w:autoSpaceDN w:val="0"/>
        <w:tabs>
          <w:tab w:pos="11346" w:val="left"/>
        </w:tabs>
        <w:autoSpaceDE w:val="0"/>
        <w:widowControl/>
        <w:spacing w:line="197" w:lineRule="auto" w:before="2880" w:after="0"/>
        <w:ind w:left="170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688 – 18/02/2026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19 </w:t>
      </w:r>
    </w:p>
    <w:p>
      <w:pPr>
        <w:sectPr>
          <w:pgSz w:w="16838" w:h="11906"/>
          <w:pgMar w:top="164" w:right="1160" w:bottom="51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1457960</wp:posOffset>
            </wp:positionH>
            <wp:positionV relativeFrom="page">
              <wp:posOffset>6675120</wp:posOffset>
            </wp:positionV>
            <wp:extent cx="7739380" cy="986147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60"/>
        <w:ind w:left="0" w:right="504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4213860</wp:posOffset>
            </wp:positionH>
            <wp:positionV relativeFrom="page">
              <wp:posOffset>209550</wp:posOffset>
            </wp:positionV>
            <wp:extent cx="2518410" cy="53975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7102"/>
        <w:gridCol w:w="7102"/>
      </w:tblGrid>
      <w:tr>
        <w:trPr>
          <w:trHeight w:hRule="exact" w:val="280"/>
        </w:trPr>
        <w:tc>
          <w:tcPr>
            <w:tcW w:type="dxa" w:w="3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22"/>
              </w:rPr>
              <w:t xml:space="preserve">Título Projeto </w:t>
            </w:r>
          </w:p>
        </w:tc>
        <w:tc>
          <w:tcPr>
            <w:tcW w:type="dxa" w:w="10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22"/>
              </w:rPr>
              <w:t xml:space="preserve">3.5. Metodologia ACERTAR </w:t>
            </w:r>
          </w:p>
        </w:tc>
      </w:tr>
      <w:tr>
        <w:trPr>
          <w:trHeight w:hRule="exact" w:val="278"/>
        </w:trPr>
        <w:tc>
          <w:tcPr>
            <w:tcW w:type="dxa" w:w="396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9999999999998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76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Tema Regulatório </w:t>
            </w:r>
          </w:p>
        </w:tc>
        <w:tc>
          <w:tcPr>
            <w:tcW w:type="dxa" w:w="10208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Planejamento e gestão da política pública de saneamento básico </w:t>
            </w:r>
          </w:p>
        </w:tc>
      </w:tr>
      <w:tr>
        <w:trPr>
          <w:trHeight w:hRule="exact" w:val="278"/>
        </w:trPr>
        <w:tc>
          <w:tcPr>
            <w:tcW w:type="dxa" w:w="710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9999999999998863" w:val="single" w:color="#000000"/>
            </w:tcBorders>
          </w:tcPr>
          <w:p/>
        </w:tc>
        <w:tc>
          <w:tcPr>
            <w:tcW w:type="dxa" w:w="10208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Indicadores operacionais e eficiência </w:t>
            </w:r>
          </w:p>
        </w:tc>
      </w:tr>
      <w:tr>
        <w:trPr>
          <w:trHeight w:hRule="exact" w:val="278"/>
        </w:trPr>
        <w:tc>
          <w:tcPr>
            <w:tcW w:type="dxa" w:w="710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9999999999998863" w:val="single" w:color="#000000"/>
            </w:tcBorders>
          </w:tcPr>
          <w:p/>
        </w:tc>
        <w:tc>
          <w:tcPr>
            <w:tcW w:type="dxa" w:w="10208"/>
            <w:tcBorders>
              <w:start w:sz="4.0" w:val="single" w:color="#000000"/>
              <w:top w:sz="4.0" w:val="single" w:color="#000000"/>
              <w:end w:sz="4.0" w:val="single" w:color="#000000"/>
              <w:bottom w:sz="3.9999999999998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Fiscalização e Processo Sancionatório </w:t>
            </w:r>
          </w:p>
        </w:tc>
      </w:tr>
      <w:tr>
        <w:trPr>
          <w:trHeight w:hRule="exact" w:val="1086"/>
        </w:trPr>
        <w:tc>
          <w:tcPr>
            <w:tcW w:type="dxa" w:w="3968"/>
            <w:tcBorders>
              <w:start w:sz="4.0" w:val="single" w:color="#000000"/>
              <w:top w:sz="3.999999999999886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402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0208"/>
            <w:tcBorders>
              <w:start w:sz="4.0" w:val="single" w:color="#000000"/>
              <w:top w:sz="3.999999999999886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A Metodologia ACERTAR de auditoria e certificação das informações enviadas pelos prestadores de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serviços ao SINISA vem sendo implementada pela ARES-PCJ desde 2020. Considerando a continuidade e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manutenção da qualidade desta ação, verifica-se a necessidade de introdução de instrumento normativo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específico definindo aspectos essenciais do procedimento de aplicação da metodologia. </w:t>
            </w:r>
          </w:p>
        </w:tc>
      </w:tr>
      <w:tr>
        <w:trPr>
          <w:trHeight w:hRule="exact" w:val="280"/>
        </w:trPr>
        <w:tc>
          <w:tcPr>
            <w:tcW w:type="dxa" w:w="396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78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Natureza do Projeto </w:t>
            </w:r>
          </w:p>
        </w:tc>
        <w:tc>
          <w:tcPr>
            <w:tcW w:type="dxa" w:w="10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Novo Ato Normativo </w:t>
            </w:r>
          </w:p>
        </w:tc>
      </w:tr>
      <w:tr>
        <w:trPr>
          <w:trHeight w:hRule="exact" w:val="278"/>
        </w:trPr>
        <w:tc>
          <w:tcPr>
            <w:tcW w:type="dxa" w:w="710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Regulamentos e Procedimentos </w:t>
            </w:r>
          </w:p>
        </w:tc>
      </w:tr>
      <w:tr>
        <w:trPr>
          <w:trHeight w:hRule="exact" w:val="276"/>
        </w:trPr>
        <w:tc>
          <w:tcPr>
            <w:tcW w:type="dxa" w:w="710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Atendimento às NRs ANA </w:t>
            </w:r>
          </w:p>
        </w:tc>
      </w:tr>
      <w:tr>
        <w:trPr>
          <w:trHeight w:hRule="exact" w:val="280"/>
        </w:trPr>
        <w:tc>
          <w:tcPr>
            <w:tcW w:type="dxa" w:w="396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78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Objetivo(s) Estratégico(s) vinculado(s) </w:t>
            </w:r>
          </w:p>
        </w:tc>
        <w:tc>
          <w:tcPr>
            <w:tcW w:type="dxa" w:w="1020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6. Fortalecer a excelência regulatória, fiscalizatória e normativa da Agência </w:t>
            </w:r>
          </w:p>
        </w:tc>
      </w:tr>
      <w:tr>
        <w:trPr>
          <w:trHeight w:hRule="exact" w:val="278"/>
        </w:trPr>
        <w:tc>
          <w:tcPr>
            <w:tcW w:type="dxa" w:w="710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20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5. Fortalecer e aperfeiçoar os processos de gerenciais e de suporte </w:t>
            </w:r>
          </w:p>
        </w:tc>
      </w:tr>
      <w:tr>
        <w:trPr>
          <w:trHeight w:hRule="exact" w:val="280"/>
        </w:trPr>
        <w:tc>
          <w:tcPr>
            <w:tcW w:type="dxa" w:w="710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2. Contribuir para a qualidade dos serviços públicos regulados com transparência e participação social </w:t>
            </w:r>
          </w:p>
        </w:tc>
      </w:tr>
      <w:tr>
        <w:trPr>
          <w:trHeight w:hRule="exact" w:val="276"/>
        </w:trPr>
        <w:tc>
          <w:tcPr>
            <w:tcW w:type="dxa" w:w="3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Previsão de Entrega </w:t>
            </w:r>
          </w:p>
        </w:tc>
        <w:tc>
          <w:tcPr>
            <w:tcW w:type="dxa" w:w="10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1º S / 2026 </w:t>
            </w:r>
          </w:p>
        </w:tc>
      </w:tr>
    </w:tbl>
    <w:p>
      <w:pPr>
        <w:autoSpaceDN w:val="0"/>
        <w:autoSpaceDE w:val="0"/>
        <w:widowControl/>
        <w:spacing w:line="8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7102"/>
        <w:gridCol w:w="7102"/>
      </w:tblGrid>
      <w:tr>
        <w:trPr>
          <w:trHeight w:hRule="exact" w:val="276"/>
        </w:trPr>
        <w:tc>
          <w:tcPr>
            <w:tcW w:type="dxa" w:w="39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22"/>
              </w:rPr>
              <w:t xml:space="preserve"> Título Projeto </w:t>
            </w:r>
          </w:p>
        </w:tc>
        <w:tc>
          <w:tcPr>
            <w:tcW w:type="dxa" w:w="101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22"/>
              </w:rPr>
              <w:t xml:space="preserve">3.6. Adoção da NR ANA nº 09/2024 - Indicadores Operacionais A&amp;E </w:t>
            </w:r>
          </w:p>
        </w:tc>
      </w:tr>
      <w:tr>
        <w:trPr>
          <w:trHeight w:hRule="exact" w:val="280"/>
        </w:trPr>
        <w:tc>
          <w:tcPr>
            <w:tcW w:type="dxa" w:w="397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4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Tema Regulatório </w:t>
            </w:r>
          </w:p>
        </w:tc>
        <w:tc>
          <w:tcPr>
            <w:tcW w:type="dxa" w:w="101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Indicadores operacionais e eficiência </w:t>
            </w:r>
          </w:p>
        </w:tc>
      </w:tr>
      <w:tr>
        <w:trPr>
          <w:trHeight w:hRule="exact" w:val="280"/>
        </w:trPr>
        <w:tc>
          <w:tcPr>
            <w:tcW w:type="dxa" w:w="710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1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Planejamento e gestão da política pública de saneamento básico </w:t>
            </w:r>
          </w:p>
        </w:tc>
      </w:tr>
      <w:tr>
        <w:trPr>
          <w:trHeight w:hRule="exact" w:val="814"/>
        </w:trPr>
        <w:tc>
          <w:tcPr>
            <w:tcW w:type="dxa" w:w="39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66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01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32" w:right="432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O projeto vincula-se à necessidade de implementação do disposto na NR ANA nº 09/2024, com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implicações sobre os instrumentos de planejamento dos municípios associados e às formas de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acompanhamento de aspectos operacionais por parte da entidade reguladora. </w:t>
            </w:r>
          </w:p>
        </w:tc>
      </w:tr>
      <w:tr>
        <w:trPr>
          <w:trHeight w:hRule="exact" w:val="280"/>
        </w:trPr>
        <w:tc>
          <w:tcPr>
            <w:tcW w:type="dxa" w:w="397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38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Natureza do Projeto </w:t>
            </w:r>
          </w:p>
        </w:tc>
        <w:tc>
          <w:tcPr>
            <w:tcW w:type="dxa" w:w="101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Novo Ato Normativo </w:t>
            </w:r>
          </w:p>
        </w:tc>
      </w:tr>
      <w:tr>
        <w:trPr>
          <w:trHeight w:hRule="exact" w:val="276"/>
        </w:trPr>
        <w:tc>
          <w:tcPr>
            <w:tcW w:type="dxa" w:w="710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1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Regulamentos e Procedimentos </w:t>
            </w:r>
          </w:p>
        </w:tc>
      </w:tr>
      <w:tr>
        <w:trPr>
          <w:trHeight w:hRule="exact" w:val="280"/>
        </w:trPr>
        <w:tc>
          <w:tcPr>
            <w:tcW w:type="dxa" w:w="397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8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Objetivo(s) Estratégico(s) vinculado(s) </w:t>
            </w:r>
          </w:p>
        </w:tc>
        <w:tc>
          <w:tcPr>
            <w:tcW w:type="dxa" w:w="1019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2. Contribuir para a qualidade dos serviços públicos regulados com transparência e participação social </w:t>
            </w:r>
          </w:p>
        </w:tc>
      </w:tr>
      <w:tr>
        <w:trPr>
          <w:trHeight w:hRule="exact" w:val="280"/>
        </w:trPr>
        <w:tc>
          <w:tcPr>
            <w:tcW w:type="dxa" w:w="710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19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6. Fortalecer a excelência regulatória, fiscalizatória e normativa da Agência </w:t>
            </w:r>
          </w:p>
        </w:tc>
      </w:tr>
      <w:tr>
        <w:trPr>
          <w:trHeight w:hRule="exact" w:val="278"/>
        </w:trPr>
        <w:tc>
          <w:tcPr>
            <w:tcW w:type="dxa" w:w="710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1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1. Promover o amplo acesso à prestação de serviços públicos regulados com modicidade tarifária </w:t>
            </w:r>
          </w:p>
        </w:tc>
      </w:tr>
      <w:tr>
        <w:trPr>
          <w:trHeight w:hRule="exact" w:val="276"/>
        </w:trPr>
        <w:tc>
          <w:tcPr>
            <w:tcW w:type="dxa" w:w="39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Previsão de Entrega </w:t>
            </w:r>
          </w:p>
        </w:tc>
        <w:tc>
          <w:tcPr>
            <w:tcW w:type="dxa" w:w="101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1º S / 2026 </w:t>
            </w:r>
          </w:p>
        </w:tc>
      </w:tr>
    </w:tbl>
    <w:p>
      <w:pPr>
        <w:autoSpaceDN w:val="0"/>
        <w:tabs>
          <w:tab w:pos="11342" w:val="left"/>
        </w:tabs>
        <w:autoSpaceDE w:val="0"/>
        <w:widowControl/>
        <w:spacing w:line="197" w:lineRule="auto" w:before="928" w:after="0"/>
        <w:ind w:left="17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688 – 18/02/2026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20 </w:t>
      </w:r>
    </w:p>
    <w:p>
      <w:pPr>
        <w:sectPr>
          <w:pgSz w:w="16838" w:h="11906"/>
          <w:pgMar w:top="164" w:right="1194" w:bottom="5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1457960</wp:posOffset>
            </wp:positionH>
            <wp:positionV relativeFrom="page">
              <wp:posOffset>6675120</wp:posOffset>
            </wp:positionV>
            <wp:extent cx="7739380" cy="986147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60"/>
        <w:ind w:left="0" w:right="50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4213860</wp:posOffset>
            </wp:positionH>
            <wp:positionV relativeFrom="page">
              <wp:posOffset>209550</wp:posOffset>
            </wp:positionV>
            <wp:extent cx="2518410" cy="53975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7103"/>
        <w:gridCol w:w="7103"/>
      </w:tblGrid>
      <w:tr>
        <w:trPr>
          <w:trHeight w:hRule="exact" w:val="280"/>
        </w:trPr>
        <w:tc>
          <w:tcPr>
            <w:tcW w:type="dxa" w:w="39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22"/>
              </w:rPr>
              <w:t xml:space="preserve">Título Projeto </w:t>
            </w:r>
          </w:p>
        </w:tc>
        <w:tc>
          <w:tcPr>
            <w:tcW w:type="dxa" w:w="102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22"/>
              </w:rPr>
              <w:t xml:space="preserve">3.7. Adoção da NR ANA nº 11/2024 e aprimoramentos à Resolução 50/2014 </w:t>
            </w:r>
          </w:p>
        </w:tc>
      </w:tr>
      <w:tr>
        <w:trPr>
          <w:trHeight w:hRule="exact" w:val="278"/>
        </w:trPr>
        <w:tc>
          <w:tcPr>
            <w:tcW w:type="dxa" w:w="397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6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Tema Regulatório </w:t>
            </w:r>
          </w:p>
        </w:tc>
        <w:tc>
          <w:tcPr>
            <w:tcW w:type="dxa" w:w="10204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Condições gerais de água e esgoto </w:t>
            </w:r>
          </w:p>
        </w:tc>
      </w:tr>
      <w:tr>
        <w:trPr>
          <w:trHeight w:hRule="exact" w:val="278"/>
        </w:trPr>
        <w:tc>
          <w:tcPr>
            <w:tcW w:type="dxa" w:w="710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204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Fiscalização e Processo Sancionatório </w:t>
            </w:r>
          </w:p>
        </w:tc>
      </w:tr>
      <w:tr>
        <w:trPr>
          <w:trHeight w:hRule="exact" w:val="816"/>
        </w:trPr>
        <w:tc>
          <w:tcPr>
            <w:tcW w:type="dxa" w:w="39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7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02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O projeto busca dar pleno atendimento à NR ANA nº 11/2024, que incide especialmente sobre aspectos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da Resolução ARES-PCJ nº 50/2014, bem como verificar a necessidade de aprimoramentos e atualizações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para este normativo, fundamental para o cotidiano da prestação dos serviços </w:t>
            </w:r>
          </w:p>
        </w:tc>
      </w:tr>
      <w:tr>
        <w:trPr>
          <w:trHeight w:hRule="exact" w:val="280"/>
        </w:trPr>
        <w:tc>
          <w:tcPr>
            <w:tcW w:type="dxa" w:w="397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76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Natureza do Projeto </w:t>
            </w:r>
          </w:p>
        </w:tc>
        <w:tc>
          <w:tcPr>
            <w:tcW w:type="dxa" w:w="102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Revisão de Ato Normativo </w:t>
            </w:r>
          </w:p>
        </w:tc>
      </w:tr>
      <w:tr>
        <w:trPr>
          <w:trHeight w:hRule="exact" w:val="278"/>
        </w:trPr>
        <w:tc>
          <w:tcPr>
            <w:tcW w:type="dxa" w:w="710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02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Regulamentos e Procedimentos </w:t>
            </w:r>
          </w:p>
        </w:tc>
      </w:tr>
      <w:tr>
        <w:trPr>
          <w:trHeight w:hRule="exact" w:val="278"/>
        </w:trPr>
        <w:tc>
          <w:tcPr>
            <w:tcW w:type="dxa" w:w="710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02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Atendimento às NRs ANA </w:t>
            </w:r>
          </w:p>
        </w:tc>
      </w:tr>
      <w:tr>
        <w:trPr>
          <w:trHeight w:hRule="exact" w:val="280"/>
        </w:trPr>
        <w:tc>
          <w:tcPr>
            <w:tcW w:type="dxa" w:w="3972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Objetivo(s) Estratégico(s) vinculado(s) </w:t>
            </w:r>
          </w:p>
        </w:tc>
        <w:tc>
          <w:tcPr>
            <w:tcW w:type="dxa" w:w="102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2. Contribuir para a qualidade dos serviços públicos regulados com transparência e participação social </w:t>
            </w:r>
          </w:p>
        </w:tc>
      </w:tr>
      <w:tr>
        <w:trPr>
          <w:trHeight w:hRule="exact" w:val="276"/>
        </w:trPr>
        <w:tc>
          <w:tcPr>
            <w:tcW w:type="dxa" w:w="7103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2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6. Fortalecer a excelência regulatória, fiscalizatória e normativa da Agência </w:t>
            </w:r>
          </w:p>
        </w:tc>
      </w:tr>
      <w:tr>
        <w:trPr>
          <w:trHeight w:hRule="exact" w:val="278"/>
        </w:trPr>
        <w:tc>
          <w:tcPr>
            <w:tcW w:type="dxa" w:w="39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Previsão de Entrega </w:t>
            </w:r>
          </w:p>
        </w:tc>
        <w:tc>
          <w:tcPr>
            <w:tcW w:type="dxa" w:w="102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1º S / 2027 </w:t>
            </w:r>
          </w:p>
        </w:tc>
      </w:tr>
    </w:tbl>
    <w:p>
      <w:pPr>
        <w:autoSpaceDN w:val="0"/>
        <w:autoSpaceDE w:val="0"/>
        <w:widowControl/>
        <w:spacing w:line="5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7103"/>
        <w:gridCol w:w="7103"/>
      </w:tblGrid>
      <w:tr>
        <w:trPr>
          <w:trHeight w:hRule="exact" w:val="546"/>
        </w:trPr>
        <w:tc>
          <w:tcPr>
            <w:tcW w:type="dxa" w:w="397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22"/>
              </w:rPr>
              <w:t xml:space="preserve">Título Projeto </w:t>
            </w:r>
          </w:p>
        </w:tc>
        <w:tc>
          <w:tcPr>
            <w:tcW w:type="dxa" w:w="102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144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22"/>
              </w:rPr>
              <w:t xml:space="preserve">3.8. Condições Gerais da prestação dos serviços públicos relacionados às soluções alternativas </w:t>
            </w:r>
            <w:r>
              <w:rPr>
                <w:rFonts w:ascii="Aptos" w:hAnsi="Aptos" w:eastAsia="Aptos"/>
                <w:b/>
                <w:i w:val="0"/>
                <w:color w:val="FFFFFF"/>
                <w:sz w:val="22"/>
              </w:rPr>
              <w:t xml:space="preserve">adequadas de abastecimento de água e esgotamento sanitário </w:t>
            </w:r>
          </w:p>
        </w:tc>
      </w:tr>
      <w:tr>
        <w:trPr>
          <w:trHeight w:hRule="exact" w:val="278"/>
        </w:trPr>
        <w:tc>
          <w:tcPr>
            <w:tcW w:type="dxa" w:w="3972"/>
            <w:vMerge w:val="restart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8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Tema Regulatório </w:t>
            </w:r>
          </w:p>
        </w:tc>
        <w:tc>
          <w:tcPr>
            <w:tcW w:type="dxa" w:w="1020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Condições gerais de água e esgoto </w:t>
            </w:r>
          </w:p>
        </w:tc>
      </w:tr>
      <w:tr>
        <w:trPr>
          <w:trHeight w:hRule="exact" w:val="278"/>
        </w:trPr>
        <w:tc>
          <w:tcPr>
            <w:tcW w:type="dxa" w:w="7103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2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Fiscalização e Processo Sancionatório </w:t>
            </w:r>
          </w:p>
        </w:tc>
      </w:tr>
      <w:tr>
        <w:trPr>
          <w:trHeight w:hRule="exact" w:val="550"/>
        </w:trPr>
        <w:tc>
          <w:tcPr>
            <w:tcW w:type="dxa" w:w="39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8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02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44" w:right="144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Ação complementar à Resolução ARES-PCJ nº 649/2025, que prevê a hipótese de soluções alternativas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adequadas integradas à prestação dos serviços públicos </w:t>
            </w:r>
          </w:p>
        </w:tc>
      </w:tr>
      <w:tr>
        <w:trPr>
          <w:trHeight w:hRule="exact" w:val="280"/>
        </w:trPr>
        <w:tc>
          <w:tcPr>
            <w:tcW w:type="dxa" w:w="397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78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Natureza do Projeto </w:t>
            </w:r>
          </w:p>
        </w:tc>
        <w:tc>
          <w:tcPr>
            <w:tcW w:type="dxa" w:w="102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Novo Ato Normativo </w:t>
            </w:r>
          </w:p>
        </w:tc>
      </w:tr>
      <w:tr>
        <w:trPr>
          <w:trHeight w:hRule="exact" w:val="276"/>
        </w:trPr>
        <w:tc>
          <w:tcPr>
            <w:tcW w:type="dxa" w:w="710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2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Revisão de Ato Normativo </w:t>
            </w:r>
          </w:p>
        </w:tc>
      </w:tr>
      <w:tr>
        <w:trPr>
          <w:trHeight w:hRule="exact" w:val="278"/>
        </w:trPr>
        <w:tc>
          <w:tcPr>
            <w:tcW w:type="dxa" w:w="710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2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Regulamentos e Procedimentos </w:t>
            </w:r>
          </w:p>
        </w:tc>
      </w:tr>
      <w:tr>
        <w:trPr>
          <w:trHeight w:hRule="exact" w:val="280"/>
        </w:trPr>
        <w:tc>
          <w:tcPr>
            <w:tcW w:type="dxa" w:w="397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78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Objetivo(s) Estratégico(s) vinculado(s) </w:t>
            </w:r>
          </w:p>
        </w:tc>
        <w:tc>
          <w:tcPr>
            <w:tcW w:type="dxa" w:w="102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3. Contribuir com a segurança hídrica e a universalização do saneamento básico </w:t>
            </w:r>
          </w:p>
        </w:tc>
      </w:tr>
      <w:tr>
        <w:trPr>
          <w:trHeight w:hRule="exact" w:val="280"/>
        </w:trPr>
        <w:tc>
          <w:tcPr>
            <w:tcW w:type="dxa" w:w="710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2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2. Contribuir para a qualidade dos serviços públicos regulados com transparência e participação social </w:t>
            </w:r>
          </w:p>
        </w:tc>
      </w:tr>
      <w:tr>
        <w:trPr>
          <w:trHeight w:hRule="exact" w:val="276"/>
        </w:trPr>
        <w:tc>
          <w:tcPr>
            <w:tcW w:type="dxa" w:w="710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2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6. Fortalecer a excelência regulatória, fiscalizatória e normativa da Agência </w:t>
            </w:r>
          </w:p>
        </w:tc>
      </w:tr>
      <w:tr>
        <w:trPr>
          <w:trHeight w:hRule="exact" w:val="280"/>
        </w:trPr>
        <w:tc>
          <w:tcPr>
            <w:tcW w:type="dxa" w:w="397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Previsão de Entrega </w:t>
            </w:r>
          </w:p>
        </w:tc>
        <w:tc>
          <w:tcPr>
            <w:tcW w:type="dxa" w:w="102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2º S / 2027 </w:t>
            </w:r>
          </w:p>
        </w:tc>
      </w:tr>
    </w:tbl>
    <w:p>
      <w:pPr>
        <w:autoSpaceDN w:val="0"/>
        <w:tabs>
          <w:tab w:pos="11342" w:val="left"/>
        </w:tabs>
        <w:autoSpaceDE w:val="0"/>
        <w:widowControl/>
        <w:spacing w:line="197" w:lineRule="auto" w:before="1762" w:after="0"/>
        <w:ind w:left="17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688 – 18/02/2026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21 </w:t>
      </w:r>
    </w:p>
    <w:p>
      <w:pPr>
        <w:sectPr>
          <w:pgSz w:w="16838" w:h="11906"/>
          <w:pgMar w:top="164" w:right="1192" w:bottom="5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1457960</wp:posOffset>
            </wp:positionH>
            <wp:positionV relativeFrom="page">
              <wp:posOffset>6675120</wp:posOffset>
            </wp:positionV>
            <wp:extent cx="7739380" cy="986147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504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4213860</wp:posOffset>
            </wp:positionH>
            <wp:positionV relativeFrom="page">
              <wp:posOffset>209550</wp:posOffset>
            </wp:positionV>
            <wp:extent cx="2518410" cy="53975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8" w:lineRule="auto" w:before="260" w:after="300"/>
        <w:ind w:left="2958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EIXO 4 — GOVERNANÇA, QUALIDADE REGULATÓRIA E GESTÃO DA INFORMAÇÃO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7104"/>
        <w:gridCol w:w="7104"/>
      </w:tblGrid>
      <w:tr>
        <w:trPr>
          <w:trHeight w:hRule="exact" w:val="278"/>
        </w:trPr>
        <w:tc>
          <w:tcPr>
            <w:tcW w:type="dxa" w:w="3968"/>
            <w:tcBorders>
              <w:start w:sz="3.2000000000000455" w:val="single" w:color="#000000"/>
              <w:top w:sz="3.199999999999932" w:val="single" w:color="#000000"/>
              <w:end w:sz="3.200000000000273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22"/>
              </w:rPr>
              <w:t xml:space="preserve">Título Projeto </w:t>
            </w:r>
          </w:p>
        </w:tc>
        <w:tc>
          <w:tcPr>
            <w:tcW w:type="dxa" w:w="10208"/>
            <w:tcBorders>
              <w:start w:sz="3.200000000000273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22"/>
              </w:rPr>
              <w:t xml:space="preserve">4.1. Qualidade Regulatória </w:t>
            </w:r>
          </w:p>
        </w:tc>
      </w:tr>
      <w:tr>
        <w:trPr>
          <w:trHeight w:hRule="exact" w:val="280"/>
        </w:trPr>
        <w:tc>
          <w:tcPr>
            <w:tcW w:type="dxa" w:w="396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Tema Regulatório </w:t>
            </w:r>
          </w:p>
        </w:tc>
        <w:tc>
          <w:tcPr>
            <w:tcW w:type="dxa" w:w="1020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Governança e Qualidade Regulatória </w:t>
            </w:r>
          </w:p>
        </w:tc>
      </w:tr>
      <w:tr>
        <w:trPr>
          <w:trHeight w:hRule="exact" w:val="1082"/>
        </w:trPr>
        <w:tc>
          <w:tcPr>
            <w:tcW w:type="dxa" w:w="396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40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020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A qualidade regulatória é entendida como o conjunto de boas práticas que regem a atividade normativa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dos entes reguladores. Objetiva-se implementar normativo e/ou instrumentos correlatos que consolidem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as ferramentas essenciais de qualidade regulatória condizentes com os de exigência técnica e formal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neste âmbito. </w:t>
            </w:r>
          </w:p>
        </w:tc>
      </w:tr>
      <w:tr>
        <w:trPr>
          <w:trHeight w:hRule="exact" w:val="280"/>
        </w:trPr>
        <w:tc>
          <w:tcPr>
            <w:tcW w:type="dxa" w:w="3968"/>
            <w:vMerge w:val="restart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Natureza do Projeto </w:t>
            </w:r>
          </w:p>
        </w:tc>
        <w:tc>
          <w:tcPr>
            <w:tcW w:type="dxa" w:w="1020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Novo Ato Normativo </w:t>
            </w:r>
          </w:p>
        </w:tc>
      </w:tr>
      <w:tr>
        <w:trPr>
          <w:trHeight w:hRule="exact" w:val="278"/>
        </w:trPr>
        <w:tc>
          <w:tcPr>
            <w:tcW w:type="dxa" w:w="7104"/>
            <w:vMerge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020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Regulamentos e Procedimentos </w:t>
            </w:r>
          </w:p>
        </w:tc>
      </w:tr>
      <w:tr>
        <w:trPr>
          <w:trHeight w:hRule="exact" w:val="280"/>
        </w:trPr>
        <w:tc>
          <w:tcPr>
            <w:tcW w:type="dxa" w:w="3968"/>
            <w:vMerge w:val="restart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4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Objetivo(s) Estratégico(s) vinculado(s) </w:t>
            </w:r>
          </w:p>
        </w:tc>
        <w:tc>
          <w:tcPr>
            <w:tcW w:type="dxa" w:w="1020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6. Fortalecer a excelência regulatória, fiscalizatória e normativa da Agência </w:t>
            </w:r>
          </w:p>
        </w:tc>
      </w:tr>
      <w:tr>
        <w:trPr>
          <w:trHeight w:hRule="exact" w:val="280"/>
        </w:trPr>
        <w:tc>
          <w:tcPr>
            <w:tcW w:type="dxa" w:w="7104"/>
            <w:vMerge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020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5. Fortalecer e aperfeiçoar os processos de gerenciais e de suporte </w:t>
            </w:r>
          </w:p>
        </w:tc>
      </w:tr>
      <w:tr>
        <w:trPr>
          <w:trHeight w:hRule="exact" w:val="280"/>
        </w:trPr>
        <w:tc>
          <w:tcPr>
            <w:tcW w:type="dxa" w:w="396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Previsão de Entrega </w:t>
            </w:r>
          </w:p>
        </w:tc>
        <w:tc>
          <w:tcPr>
            <w:tcW w:type="dxa" w:w="1020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1º S / 2026 </w:t>
            </w:r>
          </w:p>
        </w:tc>
      </w:tr>
    </w:tbl>
    <w:p>
      <w:pPr>
        <w:autoSpaceDN w:val="0"/>
        <w:autoSpaceDE w:val="0"/>
        <w:widowControl/>
        <w:spacing w:line="8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7104"/>
        <w:gridCol w:w="7104"/>
      </w:tblGrid>
      <w:tr>
        <w:trPr>
          <w:trHeight w:hRule="exact" w:val="280"/>
        </w:trPr>
        <w:tc>
          <w:tcPr>
            <w:tcW w:type="dxa" w:w="3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22"/>
              </w:rPr>
              <w:t xml:space="preserve">Título Projeto </w:t>
            </w:r>
          </w:p>
        </w:tc>
        <w:tc>
          <w:tcPr>
            <w:tcW w:type="dxa" w:w="10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22"/>
              </w:rPr>
              <w:t xml:space="preserve">4.2. Gestão do Estoque Regulatório </w:t>
            </w:r>
          </w:p>
        </w:tc>
      </w:tr>
      <w:tr>
        <w:trPr>
          <w:trHeight w:hRule="exact" w:val="278"/>
        </w:trPr>
        <w:tc>
          <w:tcPr>
            <w:tcW w:type="dxa" w:w="39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Tema Regulatório </w:t>
            </w:r>
          </w:p>
        </w:tc>
        <w:tc>
          <w:tcPr>
            <w:tcW w:type="dxa" w:w="102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Governança e Qualidade Regulatória </w:t>
            </w:r>
          </w:p>
        </w:tc>
      </w:tr>
      <w:tr>
        <w:trPr>
          <w:trHeight w:hRule="exact" w:val="548"/>
        </w:trPr>
        <w:tc>
          <w:tcPr>
            <w:tcW w:type="dxa" w:w="39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4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02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Implementação de mecanismos de gestão do estoque regulatório, privilegiando neste ciclo os processos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e ferramentas de organização, consolidação e disponibilização dos atos normativos ao público externo. </w:t>
            </w:r>
          </w:p>
        </w:tc>
      </w:tr>
      <w:tr>
        <w:trPr>
          <w:trHeight w:hRule="exact" w:val="276"/>
        </w:trPr>
        <w:tc>
          <w:tcPr>
            <w:tcW w:type="dxa" w:w="396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78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Natureza do Projeto </w:t>
            </w:r>
          </w:p>
        </w:tc>
        <w:tc>
          <w:tcPr>
            <w:tcW w:type="dxa" w:w="10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Estudos e Publicações </w:t>
            </w:r>
          </w:p>
        </w:tc>
      </w:tr>
      <w:tr>
        <w:trPr>
          <w:trHeight w:hRule="exact" w:val="278"/>
        </w:trPr>
        <w:tc>
          <w:tcPr>
            <w:tcW w:type="dxa" w:w="710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Regulamentos e Procedimentos </w:t>
            </w:r>
          </w:p>
        </w:tc>
      </w:tr>
      <w:tr>
        <w:trPr>
          <w:trHeight w:hRule="exact" w:val="280"/>
        </w:trPr>
        <w:tc>
          <w:tcPr>
            <w:tcW w:type="dxa" w:w="710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Atendimento às NRs ANA </w:t>
            </w:r>
          </w:p>
        </w:tc>
      </w:tr>
      <w:tr>
        <w:trPr>
          <w:trHeight w:hRule="exact" w:val="280"/>
        </w:trPr>
        <w:tc>
          <w:tcPr>
            <w:tcW w:type="dxa" w:w="396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38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Objetivo(s) Estratégico(s) vinculado(s) </w:t>
            </w:r>
          </w:p>
        </w:tc>
        <w:tc>
          <w:tcPr>
            <w:tcW w:type="dxa" w:w="10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6. Fortalecer a excelência regulatória, fiscalizatória e normativa da Agência </w:t>
            </w:r>
          </w:p>
        </w:tc>
      </w:tr>
      <w:tr>
        <w:trPr>
          <w:trHeight w:hRule="exact" w:val="276"/>
        </w:trPr>
        <w:tc>
          <w:tcPr>
            <w:tcW w:type="dxa" w:w="710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5. Fortalecer e aperfeiçoar os processos de gerenciais e de suporte </w:t>
            </w:r>
          </w:p>
        </w:tc>
      </w:tr>
      <w:tr>
        <w:trPr>
          <w:trHeight w:hRule="exact" w:val="280"/>
        </w:trPr>
        <w:tc>
          <w:tcPr>
            <w:tcW w:type="dxa" w:w="3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Previsão de Entrega </w:t>
            </w:r>
          </w:p>
        </w:tc>
        <w:tc>
          <w:tcPr>
            <w:tcW w:type="dxa" w:w="10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2º S / 2026 </w:t>
            </w:r>
          </w:p>
        </w:tc>
      </w:tr>
    </w:tbl>
    <w:p>
      <w:pPr>
        <w:autoSpaceDN w:val="0"/>
        <w:tabs>
          <w:tab w:pos="11346" w:val="left"/>
        </w:tabs>
        <w:autoSpaceDE w:val="0"/>
        <w:widowControl/>
        <w:spacing w:line="197" w:lineRule="auto" w:before="1942" w:after="0"/>
        <w:ind w:left="170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688 – 18/02/2026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22 </w:t>
      </w:r>
    </w:p>
    <w:p>
      <w:pPr>
        <w:sectPr>
          <w:pgSz w:w="16838" w:h="11906"/>
          <w:pgMar w:top="164" w:right="1194" w:bottom="51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1457960</wp:posOffset>
            </wp:positionH>
            <wp:positionV relativeFrom="page">
              <wp:posOffset>6675120</wp:posOffset>
            </wp:positionV>
            <wp:extent cx="7739380" cy="986147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49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4213860</wp:posOffset>
            </wp:positionH>
            <wp:positionV relativeFrom="page">
              <wp:posOffset>209550</wp:posOffset>
            </wp:positionV>
            <wp:extent cx="2518410" cy="53975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8" w:lineRule="auto" w:before="260" w:after="300"/>
        <w:ind w:left="0" w:right="3098" w:firstLine="0"/>
        <w:jc w:val="righ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EIXO 5 — USUÁRIOS, COMUNICAÇÃO E PARTICIPAÇÃO SOCIAL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7072"/>
        <w:gridCol w:w="7072"/>
      </w:tblGrid>
      <w:tr>
        <w:trPr>
          <w:trHeight w:hRule="exact" w:val="292"/>
        </w:trPr>
        <w:tc>
          <w:tcPr>
            <w:tcW w:type="dxa" w:w="3908"/>
            <w:tcBorders>
              <w:start w:sz="3.2000000000000455" w:val="single" w:color="#000000"/>
              <w:top w:sz="3.199999999999932" w:val="single" w:color="#000000"/>
              <w:end w:sz="3.200000000000273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23"/>
              </w:rPr>
              <w:t xml:space="preserve">Título Projeto </w:t>
            </w:r>
          </w:p>
        </w:tc>
        <w:tc>
          <w:tcPr>
            <w:tcW w:type="dxa" w:w="10208"/>
            <w:tcBorders>
              <w:start w:sz="3.200000000000273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23"/>
              </w:rPr>
              <w:t xml:space="preserve">5.1. Implementação das Diretrizes da Política Nacional de Linguagem Simples </w:t>
            </w:r>
          </w:p>
        </w:tc>
      </w:tr>
      <w:tr>
        <w:trPr>
          <w:trHeight w:hRule="exact" w:val="292"/>
        </w:trPr>
        <w:tc>
          <w:tcPr>
            <w:tcW w:type="dxa" w:w="3908"/>
            <w:vMerge w:val="restart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44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3"/>
              </w:rPr>
              <w:t xml:space="preserve">Tema Regulatório </w:t>
            </w:r>
          </w:p>
        </w:tc>
        <w:tc>
          <w:tcPr>
            <w:tcW w:type="dxa" w:w="1020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3"/>
              </w:rPr>
              <w:t xml:space="preserve">Ouvidoria e atendimento aos usuários </w:t>
            </w:r>
          </w:p>
        </w:tc>
      </w:tr>
      <w:tr>
        <w:trPr>
          <w:trHeight w:hRule="exact" w:val="290"/>
        </w:trPr>
        <w:tc>
          <w:tcPr>
            <w:tcW w:type="dxa" w:w="7072"/>
            <w:vMerge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020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3"/>
              </w:rPr>
              <w:t xml:space="preserve">Planejamento e gestão da política pública de saneamento básico </w:t>
            </w:r>
          </w:p>
        </w:tc>
      </w:tr>
      <w:tr>
        <w:trPr>
          <w:trHeight w:hRule="exact" w:val="1414"/>
        </w:trPr>
        <w:tc>
          <w:tcPr>
            <w:tcW w:type="dxa" w:w="390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562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3"/>
              </w:rPr>
              <w:t xml:space="preserve">Descrição </w:t>
            </w:r>
          </w:p>
        </w:tc>
        <w:tc>
          <w:tcPr>
            <w:tcW w:type="dxa" w:w="1020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3"/>
              </w:rPr>
              <w:t xml:space="preserve">Considera-se linguagem simples o conjunto de técnicas destinadas à transmissão clara e objetiva de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3"/>
              </w:rPr>
              <w:t xml:space="preserve">informações, de modo que as palavras, a estrutura e o leiaute da mensagem permitam ao cidadão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3"/>
              </w:rPr>
              <w:t xml:space="preserve">facilmente encontrar a informação, compreendê-la e usá-la. A Lei Federal nº 15.263/2025 institui a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3"/>
              </w:rPr>
              <w:t xml:space="preserve">Política Nacional de Linguagem Simples e determina que os entes federação e seus respectivos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3"/>
              </w:rPr>
              <w:t xml:space="preserve">órgãos associados as implementem nos termos de sua atuação. </w:t>
            </w:r>
          </w:p>
        </w:tc>
      </w:tr>
      <w:tr>
        <w:trPr>
          <w:trHeight w:hRule="exact" w:val="290"/>
        </w:trPr>
        <w:tc>
          <w:tcPr>
            <w:tcW w:type="dxa" w:w="3908"/>
            <w:vMerge w:val="restart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9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3"/>
              </w:rPr>
              <w:t xml:space="preserve">Natureza do Projeto </w:t>
            </w:r>
          </w:p>
        </w:tc>
        <w:tc>
          <w:tcPr>
            <w:tcW w:type="dxa" w:w="10208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3"/>
              </w:rPr>
              <w:t xml:space="preserve">Estudos e Publicações </w:t>
            </w:r>
          </w:p>
        </w:tc>
      </w:tr>
      <w:tr>
        <w:trPr>
          <w:trHeight w:hRule="exact" w:val="290"/>
        </w:trPr>
        <w:tc>
          <w:tcPr>
            <w:tcW w:type="dxa" w:w="7072"/>
            <w:vMerge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020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3"/>
              </w:rPr>
              <w:t xml:space="preserve">Regulamentos e Procedimentos </w:t>
            </w:r>
          </w:p>
        </w:tc>
      </w:tr>
      <w:tr>
        <w:trPr>
          <w:trHeight w:hRule="exact" w:val="292"/>
        </w:trPr>
        <w:tc>
          <w:tcPr>
            <w:tcW w:type="dxa" w:w="7072"/>
            <w:vMerge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020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3"/>
              </w:rPr>
              <w:t xml:space="preserve">Novo Ato Normativo </w:t>
            </w:r>
          </w:p>
        </w:tc>
      </w:tr>
      <w:tr>
        <w:trPr>
          <w:trHeight w:hRule="exact" w:val="290"/>
        </w:trPr>
        <w:tc>
          <w:tcPr>
            <w:tcW w:type="dxa" w:w="3908"/>
            <w:vMerge w:val="restart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6" w:after="0"/>
              <w:ind w:left="576" w:right="576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3"/>
              </w:rPr>
              <w:t xml:space="preserve">Objetivo(s) Estratégico(s) </w:t>
            </w:r>
            <w:r>
              <w:rPr>
                <w:rFonts w:ascii="Aptos" w:hAnsi="Aptos" w:eastAsia="Aptos"/>
                <w:b/>
                <w:i w:val="0"/>
                <w:color w:val="000000"/>
                <w:sz w:val="23"/>
              </w:rPr>
              <w:t xml:space="preserve">vinculado(s) </w:t>
            </w:r>
          </w:p>
        </w:tc>
        <w:tc>
          <w:tcPr>
            <w:tcW w:type="dxa" w:w="1020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3"/>
              </w:rPr>
              <w:t xml:space="preserve">4. Promover desenvolvimento com responsabilidade socioambiental </w:t>
            </w:r>
          </w:p>
        </w:tc>
      </w:tr>
      <w:tr>
        <w:trPr>
          <w:trHeight w:hRule="exact" w:val="574"/>
        </w:trPr>
        <w:tc>
          <w:tcPr>
            <w:tcW w:type="dxa" w:w="7072"/>
            <w:vMerge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020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288" w:right="144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3"/>
              </w:rPr>
              <w:t xml:space="preserve">2. Contribuir para a qualidade dos serviços públicos regulados com transparência e participação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3"/>
              </w:rPr>
              <w:t xml:space="preserve">social </w:t>
            </w:r>
          </w:p>
        </w:tc>
      </w:tr>
      <w:tr>
        <w:trPr>
          <w:trHeight w:hRule="exact" w:val="290"/>
        </w:trPr>
        <w:tc>
          <w:tcPr>
            <w:tcW w:type="dxa" w:w="390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3"/>
              </w:rPr>
              <w:t xml:space="preserve">Previsão de Entrega </w:t>
            </w:r>
          </w:p>
        </w:tc>
        <w:tc>
          <w:tcPr>
            <w:tcW w:type="dxa" w:w="1020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3"/>
              </w:rPr>
              <w:t xml:space="preserve">1º S / 2027 </w:t>
            </w:r>
          </w:p>
        </w:tc>
      </w:tr>
    </w:tbl>
    <w:p>
      <w:pPr>
        <w:autoSpaceDN w:val="0"/>
        <w:tabs>
          <w:tab w:pos="11346" w:val="left"/>
        </w:tabs>
        <w:autoSpaceDE w:val="0"/>
        <w:widowControl/>
        <w:spacing w:line="197" w:lineRule="auto" w:before="4330" w:after="0"/>
        <w:ind w:left="170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688 – 18/02/2026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23 </w:t>
      </w:r>
    </w:p>
    <w:p>
      <w:pPr>
        <w:sectPr>
          <w:pgSz w:w="16838" w:h="11906"/>
          <w:pgMar w:top="164" w:right="1258" w:bottom="51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1457960</wp:posOffset>
            </wp:positionH>
            <wp:positionV relativeFrom="page">
              <wp:posOffset>6675120</wp:posOffset>
            </wp:positionV>
            <wp:extent cx="7739380" cy="986147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60"/>
        <w:ind w:left="0" w:right="50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4213860</wp:posOffset>
            </wp:positionH>
            <wp:positionV relativeFrom="page">
              <wp:posOffset>209550</wp:posOffset>
            </wp:positionV>
            <wp:extent cx="2518410" cy="53975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7103"/>
        <w:gridCol w:w="7103"/>
      </w:tblGrid>
      <w:tr>
        <w:trPr>
          <w:trHeight w:hRule="exact" w:val="292"/>
        </w:trPr>
        <w:tc>
          <w:tcPr>
            <w:tcW w:type="dxa" w:w="3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23"/>
              </w:rPr>
              <w:t xml:space="preserve">Título Projeto </w:t>
            </w:r>
          </w:p>
        </w:tc>
        <w:tc>
          <w:tcPr>
            <w:tcW w:type="dxa" w:w="102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23"/>
              </w:rPr>
              <w:t xml:space="preserve">5.2. Pesquisa de Satisfação 2026 </w:t>
            </w:r>
          </w:p>
        </w:tc>
      </w:tr>
      <w:tr>
        <w:trPr>
          <w:trHeight w:hRule="exact" w:val="290"/>
        </w:trPr>
        <w:tc>
          <w:tcPr>
            <w:tcW w:type="dxa" w:w="393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46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3"/>
              </w:rPr>
              <w:t xml:space="preserve">Tema Regulatório </w:t>
            </w:r>
          </w:p>
        </w:tc>
        <w:tc>
          <w:tcPr>
            <w:tcW w:type="dxa" w:w="102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3"/>
              </w:rPr>
              <w:t xml:space="preserve">Ouvidoria e atendimento aos usuários </w:t>
            </w:r>
          </w:p>
        </w:tc>
      </w:tr>
      <w:tr>
        <w:trPr>
          <w:trHeight w:hRule="exact" w:val="290"/>
        </w:trPr>
        <w:tc>
          <w:tcPr>
            <w:tcW w:type="dxa" w:w="710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2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3"/>
              </w:rPr>
              <w:t xml:space="preserve">Planejamento e gestão da política pública de saneamento básico </w:t>
            </w:r>
          </w:p>
        </w:tc>
      </w:tr>
      <w:tr>
        <w:trPr>
          <w:trHeight w:hRule="exact" w:val="574"/>
        </w:trPr>
        <w:tc>
          <w:tcPr>
            <w:tcW w:type="dxa" w:w="39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42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3"/>
              </w:rPr>
              <w:t xml:space="preserve">Descrição </w:t>
            </w:r>
          </w:p>
        </w:tc>
        <w:tc>
          <w:tcPr>
            <w:tcW w:type="dxa" w:w="102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576" w:right="576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3"/>
              </w:rPr>
              <w:t xml:space="preserve">Avaliação continuada da satisfação dos usuários em relação à prestação dos serviços de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3"/>
              </w:rPr>
              <w:t xml:space="preserve">saneamento básico nos municípios regulados </w:t>
            </w:r>
          </w:p>
        </w:tc>
      </w:tr>
      <w:tr>
        <w:trPr>
          <w:trHeight w:hRule="exact" w:val="292"/>
        </w:trPr>
        <w:tc>
          <w:tcPr>
            <w:tcW w:type="dxa" w:w="39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3"/>
              </w:rPr>
              <w:t xml:space="preserve">Natureza do Projeto </w:t>
            </w:r>
          </w:p>
        </w:tc>
        <w:tc>
          <w:tcPr>
            <w:tcW w:type="dxa" w:w="102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3"/>
              </w:rPr>
              <w:t xml:space="preserve">Estudos e Publicações </w:t>
            </w:r>
          </w:p>
        </w:tc>
      </w:tr>
      <w:tr>
        <w:trPr>
          <w:trHeight w:hRule="exact" w:val="570"/>
        </w:trPr>
        <w:tc>
          <w:tcPr>
            <w:tcW w:type="dxa" w:w="393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90" w:after="0"/>
              <w:ind w:left="576" w:right="576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3"/>
              </w:rPr>
              <w:t xml:space="preserve">Objetivo(s) Estratégico(s) </w:t>
            </w:r>
            <w:r>
              <w:rPr>
                <w:rFonts w:ascii="Aptos" w:hAnsi="Aptos" w:eastAsia="Aptos"/>
                <w:b/>
                <w:i w:val="0"/>
                <w:color w:val="000000"/>
                <w:sz w:val="23"/>
              </w:rPr>
              <w:t xml:space="preserve">vinculado(s) </w:t>
            </w:r>
          </w:p>
        </w:tc>
        <w:tc>
          <w:tcPr>
            <w:tcW w:type="dxa" w:w="102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144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3"/>
              </w:rPr>
              <w:t xml:space="preserve">2. Contribuir para a qualidade dos serviços públicos regulados com transparência e participação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3"/>
              </w:rPr>
              <w:t xml:space="preserve">social </w:t>
            </w:r>
          </w:p>
        </w:tc>
      </w:tr>
      <w:tr>
        <w:trPr>
          <w:trHeight w:hRule="exact" w:val="292"/>
        </w:trPr>
        <w:tc>
          <w:tcPr>
            <w:tcW w:type="dxa" w:w="710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2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3"/>
              </w:rPr>
              <w:t xml:space="preserve">4. Promover desenvolvimento com responsabilidade socioambiental </w:t>
            </w:r>
          </w:p>
        </w:tc>
      </w:tr>
      <w:tr>
        <w:trPr>
          <w:trHeight w:hRule="exact" w:val="290"/>
        </w:trPr>
        <w:tc>
          <w:tcPr>
            <w:tcW w:type="dxa" w:w="710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2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3"/>
              </w:rPr>
              <w:t xml:space="preserve">6. Fortalecer a excelência regulatória, fiscalizatória e normativa da Agência </w:t>
            </w:r>
          </w:p>
        </w:tc>
      </w:tr>
      <w:tr>
        <w:trPr>
          <w:trHeight w:hRule="exact" w:val="290"/>
        </w:trPr>
        <w:tc>
          <w:tcPr>
            <w:tcW w:type="dxa" w:w="3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3"/>
              </w:rPr>
              <w:t xml:space="preserve">Previsão de Entrega </w:t>
            </w:r>
          </w:p>
        </w:tc>
        <w:tc>
          <w:tcPr>
            <w:tcW w:type="dxa" w:w="102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3"/>
              </w:rPr>
              <w:t xml:space="preserve">1º S / 2027 </w:t>
            </w:r>
          </w:p>
        </w:tc>
      </w:tr>
    </w:tbl>
    <w:p>
      <w:pPr>
        <w:autoSpaceDN w:val="0"/>
        <w:autoSpaceDE w:val="0"/>
        <w:widowControl/>
        <w:spacing w:line="8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7103"/>
        <w:gridCol w:w="7103"/>
      </w:tblGrid>
      <w:tr>
        <w:trPr>
          <w:trHeight w:hRule="exact" w:val="292"/>
        </w:trPr>
        <w:tc>
          <w:tcPr>
            <w:tcW w:type="dxa" w:w="397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23"/>
              </w:rPr>
              <w:t xml:space="preserve">Título Projeto </w:t>
            </w:r>
          </w:p>
        </w:tc>
        <w:tc>
          <w:tcPr>
            <w:tcW w:type="dxa" w:w="102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23"/>
              </w:rPr>
              <w:t xml:space="preserve">5.3. Aprimoramento da Resolução ARES-PCJ nº 49/2014 </w:t>
            </w:r>
          </w:p>
        </w:tc>
      </w:tr>
      <w:tr>
        <w:trPr>
          <w:trHeight w:hRule="exact" w:val="290"/>
        </w:trPr>
        <w:tc>
          <w:tcPr>
            <w:tcW w:type="dxa" w:w="3972"/>
            <w:vMerge w:val="restart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44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3"/>
              </w:rPr>
              <w:t xml:space="preserve">Tema Regulatório </w:t>
            </w:r>
          </w:p>
        </w:tc>
        <w:tc>
          <w:tcPr>
            <w:tcW w:type="dxa" w:w="102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3"/>
              </w:rPr>
              <w:t xml:space="preserve">Ouvidoria e atendimento aos usuários </w:t>
            </w:r>
          </w:p>
        </w:tc>
      </w:tr>
      <w:tr>
        <w:trPr>
          <w:trHeight w:hRule="exact" w:val="290"/>
        </w:trPr>
        <w:tc>
          <w:tcPr>
            <w:tcW w:type="dxa" w:w="7103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2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3"/>
              </w:rPr>
              <w:t xml:space="preserve">Planejamento e gestão da política pública de saneamento básico </w:t>
            </w:r>
          </w:p>
        </w:tc>
      </w:tr>
      <w:tr>
        <w:trPr>
          <w:trHeight w:hRule="exact" w:val="574"/>
        </w:trPr>
        <w:tc>
          <w:tcPr>
            <w:tcW w:type="dxa" w:w="39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44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3"/>
              </w:rPr>
              <w:t xml:space="preserve">Descrição </w:t>
            </w:r>
          </w:p>
        </w:tc>
        <w:tc>
          <w:tcPr>
            <w:tcW w:type="dxa" w:w="102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3"/>
              </w:rPr>
              <w:t xml:space="preserve">Aprimoramento da Resolução nº 49/2014, que estabelece as condições gerais para o funcionamento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3"/>
              </w:rPr>
              <w:t xml:space="preserve">da Ouvidoria da Agência Reguladora PCJ, no âmbito dos municípios associados. </w:t>
            </w:r>
          </w:p>
        </w:tc>
      </w:tr>
      <w:tr>
        <w:trPr>
          <w:trHeight w:hRule="exact" w:val="290"/>
        </w:trPr>
        <w:tc>
          <w:tcPr>
            <w:tcW w:type="dxa" w:w="39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3"/>
              </w:rPr>
              <w:t xml:space="preserve">Natureza do Projeto </w:t>
            </w:r>
          </w:p>
        </w:tc>
        <w:tc>
          <w:tcPr>
            <w:tcW w:type="dxa" w:w="102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3"/>
              </w:rPr>
              <w:t xml:space="preserve">Revisão de Ato Normativo </w:t>
            </w:r>
          </w:p>
        </w:tc>
      </w:tr>
      <w:tr>
        <w:trPr>
          <w:trHeight w:hRule="exact" w:val="570"/>
        </w:trPr>
        <w:tc>
          <w:tcPr>
            <w:tcW w:type="dxa" w:w="397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4" w:after="0"/>
              <w:ind w:left="576" w:right="576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3"/>
              </w:rPr>
              <w:t xml:space="preserve">Objetivo(s) Estratégico(s) </w:t>
            </w:r>
            <w:r>
              <w:rPr>
                <w:rFonts w:ascii="Aptos" w:hAnsi="Aptos" w:eastAsia="Aptos"/>
                <w:b/>
                <w:i w:val="0"/>
                <w:color w:val="000000"/>
                <w:sz w:val="23"/>
              </w:rPr>
              <w:t xml:space="preserve">vinculado(s) </w:t>
            </w:r>
          </w:p>
        </w:tc>
        <w:tc>
          <w:tcPr>
            <w:tcW w:type="dxa" w:w="102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144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3"/>
              </w:rPr>
              <w:t xml:space="preserve">2. Contribuir para a qualidade dos serviços públicos regulados com transparência e participação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3"/>
              </w:rPr>
              <w:t xml:space="preserve">social </w:t>
            </w:r>
          </w:p>
        </w:tc>
      </w:tr>
      <w:tr>
        <w:trPr>
          <w:trHeight w:hRule="exact" w:val="290"/>
        </w:trPr>
        <w:tc>
          <w:tcPr>
            <w:tcW w:type="dxa" w:w="710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2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3"/>
              </w:rPr>
              <w:t xml:space="preserve">6. Fortalecer a excelência regulatória, fiscalizatória e normativa da Agência </w:t>
            </w:r>
          </w:p>
        </w:tc>
      </w:tr>
      <w:tr>
        <w:trPr>
          <w:trHeight w:hRule="exact" w:val="292"/>
        </w:trPr>
        <w:tc>
          <w:tcPr>
            <w:tcW w:type="dxa" w:w="39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3"/>
              </w:rPr>
              <w:t xml:space="preserve">Previsão de Entrega </w:t>
            </w:r>
          </w:p>
        </w:tc>
        <w:tc>
          <w:tcPr>
            <w:tcW w:type="dxa" w:w="102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3"/>
              </w:rPr>
              <w:t xml:space="preserve">1º S / 2026 </w:t>
            </w:r>
          </w:p>
        </w:tc>
      </w:tr>
    </w:tbl>
    <w:p>
      <w:pPr>
        <w:autoSpaceDN w:val="0"/>
        <w:tabs>
          <w:tab w:pos="11342" w:val="left"/>
        </w:tabs>
        <w:autoSpaceDE w:val="0"/>
        <w:widowControl/>
        <w:spacing w:line="197" w:lineRule="auto" w:before="2316" w:after="0"/>
        <w:ind w:left="17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688 – 18/02/2026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24 </w:t>
      </w:r>
    </w:p>
    <w:p>
      <w:pPr>
        <w:sectPr>
          <w:pgSz w:w="16838" w:h="11906"/>
          <w:pgMar w:top="164" w:right="1192" w:bottom="5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1457960</wp:posOffset>
            </wp:positionH>
            <wp:positionV relativeFrom="page">
              <wp:posOffset>6675120</wp:posOffset>
            </wp:positionV>
            <wp:extent cx="7739380" cy="986147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50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4213860</wp:posOffset>
            </wp:positionH>
            <wp:positionV relativeFrom="page">
              <wp:posOffset>209550</wp:posOffset>
            </wp:positionV>
            <wp:extent cx="2518410" cy="53975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8" w:lineRule="auto" w:before="260" w:after="240"/>
        <w:ind w:left="8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>5.</w:t>
      </w:r>
      <w:r>
        <w:rPr>
          <w:rFonts w:ascii="Aptos" w:hAnsi="Aptos" w:eastAsia="Aptos"/>
          <w:b/>
          <w:i w:val="0"/>
          <w:color w:val="000000"/>
          <w:sz w:val="24"/>
        </w:rPr>
        <w:t xml:space="preserve">CRONOGRAMA PREVISTO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2843"/>
        <w:gridCol w:w="2843"/>
        <w:gridCol w:w="2843"/>
        <w:gridCol w:w="2843"/>
        <w:gridCol w:w="2843"/>
      </w:tblGrid>
      <w:tr>
        <w:trPr>
          <w:trHeight w:hRule="exact" w:val="432"/>
        </w:trPr>
        <w:tc>
          <w:tcPr>
            <w:tcW w:type="dxa" w:w="2580"/>
            <w:tcBorders>
              <w:start w:sz="6.400000000000091" w:val="single" w:color="#FFFFFF"/>
              <w:end w:sz="6.400000000000091" w:val="single" w:color="#FFFFFF"/>
              <w:bottom w:sz="7.199999999999932" w:val="single" w:color="#FFFFFF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40" w:after="0"/>
              <w:ind w:left="0" w:right="0" w:firstLine="0"/>
              <w:jc w:val="center"/>
            </w:pPr>
            <w:r>
              <w:rPr>
                <w:w w:val="102.07625169020433"/>
                <w:rFonts w:ascii="Aptos" w:hAnsi="Aptos" w:eastAsia="Aptos"/>
                <w:b/>
                <w:i w:val="0"/>
                <w:color w:val="FFFFFF"/>
                <w:sz w:val="13"/>
              </w:rPr>
              <w:t>Eixo</w:t>
            </w:r>
          </w:p>
        </w:tc>
        <w:tc>
          <w:tcPr>
            <w:tcW w:type="dxa" w:w="3064"/>
            <w:tcBorders>
              <w:start w:sz="6.400000000000091" w:val="single" w:color="#FFFFFF"/>
              <w:bottom w:sz="7.199999999999932" w:val="single" w:color="#FFFFFF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62" w:val="left"/>
              </w:tabs>
              <w:autoSpaceDE w:val="0"/>
              <w:widowControl/>
              <w:spacing w:line="259" w:lineRule="auto" w:before="16" w:after="0"/>
              <w:ind w:left="1316" w:right="0" w:firstLine="0"/>
              <w:jc w:val="left"/>
            </w:pPr>
            <w:r>
              <w:tab/>
            </w:r>
            <w:r>
              <w:rPr>
                <w:w w:val="101.09008380344935"/>
                <w:rFonts w:ascii="Aptos" w:hAnsi="Aptos" w:eastAsia="Aptos"/>
                <w:b/>
                <w:i w:val="0"/>
                <w:color w:val="FFFFFF"/>
                <w:sz w:val="14"/>
              </w:rPr>
              <w:t xml:space="preserve">202 </w:t>
            </w:r>
            <w:r>
              <w:rPr>
                <w:w w:val="102.07625169020433"/>
                <w:rFonts w:ascii="Aptos" w:hAnsi="Aptos" w:eastAsia="Aptos"/>
                <w:b/>
                <w:i w:val="0"/>
                <w:color w:val="FFFFFF"/>
                <w:sz w:val="13"/>
              </w:rPr>
              <w:t>1S 2026</w:t>
            </w:r>
          </w:p>
        </w:tc>
        <w:tc>
          <w:tcPr>
            <w:tcW w:type="dxa" w:w="2968"/>
            <w:tcBorders>
              <w:end w:sz="6.400000000000091" w:val="single" w:color="#FFFFFF"/>
              <w:bottom w:sz="7.199999999999932" w:val="single" w:color="#FFFFFF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72" w:val="left"/>
              </w:tabs>
              <w:autoSpaceDE w:val="0"/>
              <w:widowControl/>
              <w:spacing w:line="259" w:lineRule="auto" w:before="16" w:after="0"/>
              <w:ind w:left="16" w:right="1152" w:firstLine="0"/>
              <w:jc w:val="left"/>
            </w:pPr>
            <w:r>
              <w:rPr>
                <w:w w:val="101.09008380344935"/>
                <w:rFonts w:ascii="Aptos" w:hAnsi="Aptos" w:eastAsia="Aptos"/>
                <w:b/>
                <w:i w:val="0"/>
                <w:color w:val="FFFFFF"/>
                <w:sz w:val="14"/>
              </w:rPr>
              <w:t xml:space="preserve">6 </w:t>
            </w:r>
            <w:r>
              <w:br/>
            </w:r>
            <w:r>
              <w:tab/>
            </w:r>
            <w:r>
              <w:rPr>
                <w:w w:val="102.07625169020433"/>
                <w:rFonts w:ascii="Aptos" w:hAnsi="Aptos" w:eastAsia="Aptos"/>
                <w:b/>
                <w:i w:val="0"/>
                <w:color w:val="FFFFFF"/>
                <w:sz w:val="13"/>
              </w:rPr>
              <w:t>2S 2026</w:t>
            </w:r>
          </w:p>
        </w:tc>
        <w:tc>
          <w:tcPr>
            <w:tcW w:type="dxa" w:w="2862"/>
            <w:tcBorders>
              <w:start w:sz="6.400000000000091" w:val="single" w:color="#FFFFFF"/>
              <w:bottom w:sz="7.199999999999932" w:val="single" w:color="#FFFFFF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622" w:val="left"/>
              </w:tabs>
              <w:autoSpaceDE w:val="0"/>
              <w:widowControl/>
              <w:spacing w:line="259" w:lineRule="auto" w:before="16" w:after="0"/>
              <w:ind w:left="1210" w:right="0" w:firstLine="0"/>
              <w:jc w:val="left"/>
            </w:pPr>
            <w:r>
              <w:tab/>
            </w:r>
            <w:r>
              <w:rPr>
                <w:w w:val="101.09008380344935"/>
                <w:rFonts w:ascii="Aptos" w:hAnsi="Aptos" w:eastAsia="Aptos"/>
                <w:b/>
                <w:i w:val="0"/>
                <w:color w:val="FFFFFF"/>
                <w:sz w:val="14"/>
              </w:rPr>
              <w:t xml:space="preserve">2027 </w:t>
            </w:r>
            <w:r>
              <w:rPr>
                <w:w w:val="102.07625169020433"/>
                <w:rFonts w:ascii="Aptos" w:hAnsi="Aptos" w:eastAsia="Aptos"/>
                <w:b/>
                <w:i w:val="0"/>
                <w:color w:val="FFFFFF"/>
                <w:sz w:val="13"/>
              </w:rPr>
              <w:t>1S 2027</w:t>
            </w:r>
          </w:p>
        </w:tc>
        <w:tc>
          <w:tcPr>
            <w:tcW w:type="dxa" w:w="2696"/>
            <w:tcBorders>
              <w:end w:sz="7.199999999999818" w:val="single" w:color="#FFFFFF"/>
              <w:bottom w:sz="7.199999999999932" w:val="single" w:color="#FFFFFF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58" w:val="left"/>
              </w:tabs>
              <w:autoSpaceDE w:val="0"/>
              <w:widowControl/>
              <w:spacing w:line="259" w:lineRule="auto" w:before="16" w:after="0"/>
              <w:ind w:left="0" w:right="1008" w:firstLine="0"/>
              <w:jc w:val="left"/>
            </w:pPr>
            <w:r>
              <w:rPr>
                <w:w w:val="101.09008380344935"/>
                <w:rFonts w:ascii="Aptos" w:hAnsi="Aptos" w:eastAsia="Aptos"/>
                <w:b/>
                <w:i w:val="0"/>
                <w:color w:val="FFFFFF"/>
                <w:sz w:val="14"/>
              </w:rPr>
              <w:t xml:space="preserve">7 </w:t>
            </w:r>
            <w:r>
              <w:br/>
            </w:r>
            <w:r>
              <w:rPr>
                <w:w w:val="102.07625169020433"/>
                <w:rFonts w:ascii="Aptos" w:hAnsi="Aptos" w:eastAsia="Aptos"/>
                <w:b/>
                <w:i w:val="0"/>
                <w:color w:val="FFFFFF"/>
                <w:sz w:val="13"/>
              </w:rPr>
              <w:t>2S 2027</w:t>
            </w:r>
          </w:p>
        </w:tc>
      </w:tr>
      <w:tr>
        <w:trPr>
          <w:trHeight w:hRule="exact" w:val="394"/>
        </w:trPr>
        <w:tc>
          <w:tcPr>
            <w:tcW w:type="dxa" w:w="2580"/>
            <w:vMerge w:val="restart"/>
            <w:tcBorders>
              <w:start w:sz="6.400000000000091" w:val="single" w:color="#000000"/>
              <w:top w:sz="7.199999999999932" w:val="single" w:color="#FFFFFF"/>
              <w:end w:sz="6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8.000000000000114" w:type="dxa"/>
            </w:tblPr>
            <w:tblGrid>
              <w:gridCol w:w="2580"/>
            </w:tblGrid>
            <w:tr>
              <w:trPr>
                <w:trHeight w:hRule="exact" w:val="580"/>
              </w:trPr>
              <w:tc>
                <w:tcPr>
                  <w:tcW w:type="dxa" w:w="2578"/>
                  <w:tcBorders/>
                  <w:shd w:fill="dae9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auto" w:before="430" w:after="0"/>
                    <w:ind w:left="0" w:right="0" w:firstLine="0"/>
                    <w:jc w:val="center"/>
                  </w:pPr>
                  <w:r>
                    <w:rPr>
                      <w:w w:val="104.31900891390713"/>
                      <w:rFonts w:ascii="Aptos" w:hAnsi="Aptos" w:eastAsia="Aptos"/>
                      <w:b/>
                      <w:i w:val="0"/>
                      <w:color w:val="000000"/>
                      <w:sz w:val="11"/>
                    </w:rPr>
                    <w:t xml:space="preserve">Eixo 1 — Regulação Econômico-Financeira, Tarifária 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8.000000000000114" w:type="dxa"/>
            </w:tblPr>
            <w:tblGrid>
              <w:gridCol w:w="2580"/>
            </w:tblGrid>
            <w:tr>
              <w:trPr>
                <w:trHeight w:hRule="exact" w:val="186"/>
              </w:trPr>
              <w:tc>
                <w:tcPr>
                  <w:tcW w:type="dxa" w:w="2578"/>
                  <w:tcBorders/>
                  <w:shd w:fill="dae9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auto" w:before="10" w:after="0"/>
                    <w:ind w:left="0" w:right="0" w:firstLine="0"/>
                    <w:jc w:val="center"/>
                  </w:pPr>
                  <w:r>
                    <w:rPr>
                      <w:w w:val="104.31900891390713"/>
                      <w:rFonts w:ascii="Aptos" w:hAnsi="Aptos" w:eastAsia="Aptos"/>
                      <w:b/>
                      <w:i w:val="0"/>
                      <w:color w:val="000000"/>
                      <w:sz w:val="11"/>
                    </w:rPr>
                    <w:t>Contratual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64"/>
            <w:tcBorders>
              <w:start w:sz="6.0" w:val="single" w:color="#000000"/>
              <w:top w:sz="7.199999999999932" w:val="single" w:color="#FFFFFF"/>
              <w:end w:sz="6.0" w:val="single" w:color="#000000"/>
              <w:bottom w:sz="6.0" w:val="single" w:color="#000000"/>
            </w:tcBorders>
            <w:shd w:fill="dae9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0" w:right="0" w:firstLine="0"/>
              <w:jc w:val="center"/>
            </w:pPr>
            <w:r>
              <w:rPr>
                <w:w w:val="104.31900891390713"/>
                <w:rFonts w:ascii="Aptos Narrow" w:hAnsi="Aptos Narrow" w:eastAsia="Aptos Narrow"/>
                <w:b w:val="0"/>
                <w:i w:val="0"/>
                <w:color w:val="000000"/>
                <w:sz w:val="11"/>
              </w:rPr>
              <w:t>1.8. Sustentabilidade Econômico-Financeira SMRSU</w:t>
            </w:r>
          </w:p>
        </w:tc>
        <w:tc>
          <w:tcPr>
            <w:tcW w:type="dxa" w:w="2968"/>
            <w:tcBorders>
              <w:start w:sz="6.0" w:val="single" w:color="#000000"/>
              <w:top w:sz="7.199999999999932" w:val="single" w:color="#FFFFFF"/>
              <w:end w:sz="6.0" w:val="single" w:color="#000000"/>
              <w:bottom w:sz="6.0" w:val="single" w:color="#000000"/>
            </w:tcBorders>
            <w:shd w:fill="dae9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w w:val="104.31900891390713"/>
                <w:rFonts w:ascii="Aptos Narrow" w:hAnsi="Aptos Narrow" w:eastAsia="Aptos Narrow"/>
                <w:b w:val="0"/>
                <w:i w:val="0"/>
                <w:color w:val="000000"/>
                <w:sz w:val="11"/>
              </w:rPr>
              <w:t xml:space="preserve">1.1. Adoção da NR ANA nº 06/2024 - Modelos de Regulação </w:t>
            </w:r>
            <w:r>
              <w:rPr>
                <w:w w:val="104.31900891390713"/>
                <w:rFonts w:ascii="Aptos Narrow" w:hAnsi="Aptos Narrow" w:eastAsia="Aptos Narrow"/>
                <w:b w:val="0"/>
                <w:i w:val="0"/>
                <w:color w:val="000000"/>
                <w:sz w:val="11"/>
              </w:rPr>
              <w:t>Tarifária</w:t>
            </w:r>
          </w:p>
        </w:tc>
        <w:tc>
          <w:tcPr>
            <w:tcW w:type="dxa" w:w="2862"/>
            <w:tcBorders>
              <w:start w:sz="6.0" w:val="single" w:color="#000000"/>
              <w:top w:sz="7.199999999999932" w:val="single" w:color="#FFFFFF"/>
              <w:end w:sz="6.0" w:val="single" w:color="#000000"/>
              <w:bottom w:sz="6.0" w:val="single" w:color="#000000"/>
            </w:tcBorders>
            <w:shd w:fill="dae9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0" w:right="0" w:firstLine="0"/>
              <w:jc w:val="center"/>
            </w:pPr>
            <w:r>
              <w:rPr>
                <w:w w:val="104.31900891390713"/>
                <w:rFonts w:ascii="Aptos Narrow" w:hAnsi="Aptos Narrow" w:eastAsia="Aptos Narrow"/>
                <w:b w:val="0"/>
                <w:i w:val="0"/>
                <w:color w:val="000000"/>
                <w:sz w:val="11"/>
              </w:rPr>
              <w:t>1.6. Revisão da Resolução ARES-PCJ nº 94/2015</w:t>
            </w:r>
          </w:p>
        </w:tc>
        <w:tc>
          <w:tcPr>
            <w:tcW w:type="dxa" w:w="2696"/>
            <w:tcBorders>
              <w:start w:sz="6.0" w:val="single" w:color="#000000"/>
              <w:top w:sz="7.199999999999932" w:val="single" w:color="#FFFFFF"/>
              <w:end w:sz="7.199999999999818" w:val="single" w:color="#000000"/>
              <w:bottom w:sz="6.0" w:val="single" w:color="#000000"/>
            </w:tcBorders>
            <w:shd w:fill="dae9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w w:val="104.31900891390713"/>
                <w:rFonts w:ascii="Aptos Narrow" w:hAnsi="Aptos Narrow" w:eastAsia="Aptos Narrow"/>
                <w:b w:val="0"/>
                <w:i w:val="0"/>
                <w:color w:val="000000"/>
                <w:sz w:val="11"/>
              </w:rPr>
              <w:t xml:space="preserve">1.3. Adoção da NR ANA nº 13/2025 - Estrutura Tarifária e </w:t>
            </w:r>
            <w:r>
              <w:rPr>
                <w:w w:val="104.31900891390713"/>
                <w:rFonts w:ascii="Aptos Narrow" w:hAnsi="Aptos Narrow" w:eastAsia="Aptos Narrow"/>
                <w:b w:val="0"/>
                <w:i w:val="0"/>
                <w:color w:val="000000"/>
                <w:sz w:val="11"/>
              </w:rPr>
              <w:t>Tarifa Social</w:t>
            </w:r>
          </w:p>
        </w:tc>
      </w:tr>
      <w:tr>
        <w:trPr>
          <w:trHeight w:hRule="exact" w:val="388"/>
        </w:trPr>
        <w:tc>
          <w:tcPr>
            <w:tcW w:type="dxa" w:w="2843"/>
            <w:vMerge/>
            <w:tcBorders>
              <w:start w:sz="6.400000000000091" w:val="single" w:color="#000000"/>
              <w:top w:sz="7.199999999999932" w:val="single" w:color="#FFFFFF"/>
              <w:end w:sz="6.0" w:val="single" w:color="#000000"/>
              <w:bottom w:sz="7.2000000000000455" w:val="single" w:color="#000000"/>
            </w:tcBorders>
          </w:tcPr>
          <w:p/>
        </w:tc>
        <w:tc>
          <w:tcPr>
            <w:tcW w:type="dxa" w:w="3064"/>
            <w:vMerge w:val="restart"/>
            <w:tcBorders>
              <w:start w:sz="6.0" w:val="single" w:color="#000000"/>
              <w:top w:sz="6.0" w:val="single" w:color="#000000"/>
              <w:end w:sz="6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9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ae9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0" w:right="0" w:firstLine="0"/>
              <w:jc w:val="center"/>
            </w:pPr>
            <w:r>
              <w:rPr>
                <w:w w:val="104.31900891390713"/>
                <w:rFonts w:ascii="Aptos Narrow" w:hAnsi="Aptos Narrow" w:eastAsia="Aptos Narrow"/>
                <w:b w:val="0"/>
                <w:i w:val="0"/>
                <w:color w:val="000000"/>
                <w:sz w:val="11"/>
              </w:rPr>
              <w:t xml:space="preserve">1.2. Adoção da NR ANA nº 10/2024 - Metodologias de Cálculo e </w:t>
            </w:r>
            <w:r>
              <w:rPr>
                <w:w w:val="104.31900891390713"/>
                <w:rFonts w:ascii="Aptos Narrow" w:hAnsi="Aptos Narrow" w:eastAsia="Aptos Narrow"/>
                <w:b w:val="0"/>
                <w:i w:val="0"/>
                <w:color w:val="000000"/>
                <w:sz w:val="11"/>
              </w:rPr>
              <w:t>Procedimentos para Reajuste Tarifário</w:t>
            </w:r>
          </w:p>
        </w:tc>
        <w:tc>
          <w:tcPr>
            <w:tcW w:type="dxa" w:w="286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ae9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144" w:right="144" w:firstLine="0"/>
              <w:jc w:val="center"/>
            </w:pPr>
            <w:r>
              <w:rPr>
                <w:w w:val="104.31900891390713"/>
                <w:rFonts w:ascii="Aptos Narrow" w:hAnsi="Aptos Narrow" w:eastAsia="Aptos Narrow"/>
                <w:b w:val="0"/>
                <w:i w:val="0"/>
                <w:color w:val="000000"/>
                <w:sz w:val="11"/>
              </w:rPr>
              <w:t xml:space="preserve">1.9. Regulação econômica de Soluções Alternativas de </w:t>
            </w:r>
            <w:r>
              <w:rPr>
                <w:w w:val="104.31900891390713"/>
                <w:rFonts w:ascii="Aptos Narrow" w:hAnsi="Aptos Narrow" w:eastAsia="Aptos Narrow"/>
                <w:b w:val="0"/>
                <w:i w:val="0"/>
                <w:color w:val="000000"/>
                <w:sz w:val="11"/>
              </w:rPr>
              <w:t>Água/Esgoto</w:t>
            </w:r>
          </w:p>
        </w:tc>
        <w:tc>
          <w:tcPr>
            <w:tcW w:type="dxa" w:w="2696"/>
            <w:vMerge w:val="restart"/>
            <w:tcBorders>
              <w:start w:sz="6.0" w:val="single" w:color="#000000"/>
              <w:top w:sz="6.0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8"/>
        </w:trPr>
        <w:tc>
          <w:tcPr>
            <w:tcW w:type="dxa" w:w="2843"/>
            <w:vMerge/>
            <w:tcBorders>
              <w:start w:sz="6.400000000000091" w:val="single" w:color="#000000"/>
              <w:top w:sz="7.199999999999932" w:val="single" w:color="#FFFFFF"/>
              <w:end w:sz="6.0" w:val="single" w:color="#000000"/>
              <w:bottom w:sz="7.2000000000000455" w:val="single" w:color="#000000"/>
            </w:tcBorders>
          </w:tcPr>
          <w:p/>
        </w:tc>
        <w:tc>
          <w:tcPr>
            <w:tcW w:type="dxa" w:w="2843"/>
            <w:vMerge/>
            <w:tcBorders>
              <w:start w:sz="6.0" w:val="single" w:color="#000000"/>
              <w:top w:sz="6.0" w:val="single" w:color="#000000"/>
              <w:end w:sz="6.0" w:val="single" w:color="#000000"/>
              <w:bottom w:sz="7.2000000000000455" w:val="single" w:color="#000000"/>
            </w:tcBorders>
          </w:tcPr>
          <w:p/>
        </w:tc>
        <w:tc>
          <w:tcPr>
            <w:tcW w:type="dxa" w:w="29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ae9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8" w:after="0"/>
              <w:ind w:left="0" w:right="0" w:firstLine="0"/>
              <w:jc w:val="center"/>
            </w:pPr>
            <w:r>
              <w:rPr>
                <w:w w:val="104.31900891390713"/>
                <w:rFonts w:ascii="Aptos Narrow" w:hAnsi="Aptos Narrow" w:eastAsia="Aptos Narrow"/>
                <w:b w:val="0"/>
                <w:i w:val="0"/>
                <w:color w:val="000000"/>
                <w:sz w:val="11"/>
              </w:rPr>
              <w:t>1.4. Revisão da Resolução ARES-PCJ nº 303/2019</w:t>
            </w:r>
          </w:p>
        </w:tc>
        <w:tc>
          <w:tcPr>
            <w:tcW w:type="dxa" w:w="2862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ae9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w w:val="104.31900891390713"/>
                <w:rFonts w:ascii="Aptos Narrow" w:hAnsi="Aptos Narrow" w:eastAsia="Aptos Narrow"/>
                <w:b w:val="0"/>
                <w:i w:val="0"/>
                <w:color w:val="000000"/>
                <w:sz w:val="11"/>
              </w:rPr>
              <w:t xml:space="preserve">1.10. Aprimoramentos à Resolução ARES-PCJ nº 592/2024 </w:t>
            </w:r>
            <w:r>
              <w:rPr>
                <w:w w:val="104.31900891390713"/>
                <w:rFonts w:ascii="Aptos Narrow" w:hAnsi="Aptos Narrow" w:eastAsia="Aptos Narrow"/>
                <w:b w:val="0"/>
                <w:i w:val="0"/>
                <w:color w:val="000000"/>
                <w:sz w:val="11"/>
              </w:rPr>
              <w:t>(Tarifa Social de Água e Esgoto)</w:t>
            </w:r>
          </w:p>
        </w:tc>
        <w:tc>
          <w:tcPr>
            <w:tcW w:type="dxa" w:w="2843"/>
            <w:vMerge/>
            <w:tcBorders>
              <w:start w:sz="6.0" w:val="single" w:color="#000000"/>
              <w:top w:sz="6.0" w:val="single" w:color="#000000"/>
              <w:end w:sz="7.199999999999818" w:val="single" w:color="#000000"/>
              <w:bottom w:sz="7.2000000000000455" w:val="single" w:color="#000000"/>
            </w:tcBorders>
          </w:tcPr>
          <w:p/>
        </w:tc>
      </w:tr>
      <w:tr>
        <w:trPr>
          <w:trHeight w:hRule="exact" w:val="390"/>
        </w:trPr>
        <w:tc>
          <w:tcPr>
            <w:tcW w:type="dxa" w:w="2843"/>
            <w:vMerge/>
            <w:tcBorders>
              <w:start w:sz="6.400000000000091" w:val="single" w:color="#000000"/>
              <w:top w:sz="7.199999999999932" w:val="single" w:color="#FFFFFF"/>
              <w:end w:sz="6.0" w:val="single" w:color="#000000"/>
              <w:bottom w:sz="7.2000000000000455" w:val="single" w:color="#000000"/>
            </w:tcBorders>
          </w:tcPr>
          <w:p/>
        </w:tc>
        <w:tc>
          <w:tcPr>
            <w:tcW w:type="dxa" w:w="2843"/>
            <w:vMerge/>
            <w:tcBorders>
              <w:start w:sz="6.0" w:val="single" w:color="#000000"/>
              <w:top w:sz="6.0" w:val="single" w:color="#000000"/>
              <w:end w:sz="6.0" w:val="single" w:color="#000000"/>
              <w:bottom w:sz="7.2000000000000455" w:val="single" w:color="#000000"/>
            </w:tcBorders>
          </w:tcPr>
          <w:p/>
        </w:tc>
        <w:tc>
          <w:tcPr>
            <w:tcW w:type="dxa" w:w="296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dae9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144" w:firstLine="0"/>
              <w:jc w:val="center"/>
            </w:pPr>
            <w:r>
              <w:rPr>
                <w:w w:val="104.31900891390713"/>
                <w:rFonts w:ascii="Aptos Narrow" w:hAnsi="Aptos Narrow" w:eastAsia="Aptos Narrow"/>
                <w:b w:val="0"/>
                <w:i w:val="0"/>
                <w:color w:val="000000"/>
                <w:sz w:val="11"/>
              </w:rPr>
              <w:t xml:space="preserve">1.5. Revisão da Resolução ARES-PCJ nº 423/2022 - Preços </w:t>
            </w:r>
            <w:r>
              <w:rPr>
                <w:w w:val="104.31900891390713"/>
                <w:rFonts w:ascii="Aptos Narrow" w:hAnsi="Aptos Narrow" w:eastAsia="Aptos Narrow"/>
                <w:b w:val="0"/>
                <w:i w:val="0"/>
                <w:color w:val="000000"/>
                <w:sz w:val="11"/>
              </w:rPr>
              <w:t>Públicos de Serviços Individuais</w:t>
            </w:r>
          </w:p>
        </w:tc>
        <w:tc>
          <w:tcPr>
            <w:tcW w:type="dxa" w:w="2862"/>
            <w:vMerge w:val="restart"/>
            <w:tcBorders>
              <w:start w:sz="6.0" w:val="single" w:color="#000000"/>
              <w:top w:sz="6.0" w:val="single" w:color="#000000"/>
              <w:end w:sz="6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843"/>
            <w:vMerge/>
            <w:tcBorders>
              <w:start w:sz="6.0" w:val="single" w:color="#000000"/>
              <w:top w:sz="6.0" w:val="single" w:color="#000000"/>
              <w:end w:sz="7.199999999999818" w:val="single" w:color="#000000"/>
              <w:bottom w:sz="7.2000000000000455" w:val="single" w:color="#000000"/>
            </w:tcBorders>
          </w:tcPr>
          <w:p/>
        </w:tc>
      </w:tr>
      <w:tr>
        <w:trPr>
          <w:trHeight w:hRule="exact" w:val="386"/>
        </w:trPr>
        <w:tc>
          <w:tcPr>
            <w:tcW w:type="dxa" w:w="2843"/>
            <w:vMerge/>
            <w:tcBorders>
              <w:start w:sz="6.400000000000091" w:val="single" w:color="#000000"/>
              <w:top w:sz="7.199999999999932" w:val="single" w:color="#FFFFFF"/>
              <w:end w:sz="6.0" w:val="single" w:color="#000000"/>
              <w:bottom w:sz="7.2000000000000455" w:val="single" w:color="#000000"/>
            </w:tcBorders>
          </w:tcPr>
          <w:p/>
        </w:tc>
        <w:tc>
          <w:tcPr>
            <w:tcW w:type="dxa" w:w="2843"/>
            <w:vMerge/>
            <w:tcBorders>
              <w:start w:sz="6.0" w:val="single" w:color="#000000"/>
              <w:top w:sz="6.0" w:val="single" w:color="#000000"/>
              <w:end w:sz="6.0" w:val="single" w:color="#000000"/>
              <w:bottom w:sz="7.2000000000000455" w:val="single" w:color="#000000"/>
            </w:tcBorders>
          </w:tcPr>
          <w:p/>
        </w:tc>
        <w:tc>
          <w:tcPr>
            <w:tcW w:type="dxa" w:w="2968"/>
            <w:tcBorders>
              <w:start w:sz="6.0" w:val="single" w:color="#000000"/>
              <w:top w:sz="6.0" w:val="single" w:color="#000000"/>
              <w:end w:sz="6.0" w:val="single" w:color="#000000"/>
              <w:bottom w:sz="7.2000000000000455" w:val="single" w:color="#000000"/>
            </w:tcBorders>
            <w:shd w:fill="dae9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18" w:after="0"/>
              <w:ind w:left="0" w:right="0" w:firstLine="0"/>
              <w:jc w:val="center"/>
            </w:pPr>
            <w:r>
              <w:rPr>
                <w:w w:val="104.31900891390713"/>
                <w:rFonts w:ascii="Aptos Narrow" w:hAnsi="Aptos Narrow" w:eastAsia="Aptos Narrow"/>
                <w:b w:val="0"/>
                <w:i w:val="0"/>
                <w:color w:val="000000"/>
                <w:sz w:val="11"/>
              </w:rPr>
              <w:t>1.7. Reforma Tributária</w:t>
            </w:r>
          </w:p>
        </w:tc>
        <w:tc>
          <w:tcPr>
            <w:tcW w:type="dxa" w:w="2843"/>
            <w:vMerge/>
            <w:tcBorders>
              <w:start w:sz="6.0" w:val="single" w:color="#000000"/>
              <w:top w:sz="6.0" w:val="single" w:color="#000000"/>
              <w:end w:sz="6.0" w:val="single" w:color="#000000"/>
              <w:bottom w:sz="7.2000000000000455" w:val="single" w:color="#000000"/>
            </w:tcBorders>
          </w:tcPr>
          <w:p/>
        </w:tc>
        <w:tc>
          <w:tcPr>
            <w:tcW w:type="dxa" w:w="2843"/>
            <w:vMerge/>
            <w:tcBorders>
              <w:start w:sz="6.0" w:val="single" w:color="#000000"/>
              <w:top w:sz="6.0" w:val="single" w:color="#000000"/>
              <w:end w:sz="7.199999999999818" w:val="single" w:color="#000000"/>
              <w:bottom w:sz="7.2000000000000455" w:val="single" w:color="#000000"/>
            </w:tcBorders>
          </w:tcPr>
          <w:p/>
        </w:tc>
      </w:tr>
      <w:tr>
        <w:trPr>
          <w:trHeight w:hRule="exact" w:val="386"/>
        </w:trPr>
        <w:tc>
          <w:tcPr>
            <w:tcW w:type="dxa" w:w="2580"/>
            <w:tcBorders>
              <w:start w:sz="6.400000000000091" w:val="single" w:color="#000000"/>
              <w:top w:sz="7.2000000000000455" w:val="single" w:color="#000000"/>
              <w:end w:sz="6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64"/>
            <w:tcBorders>
              <w:start w:sz="6.0" w:val="single" w:color="#000000"/>
              <w:top w:sz="7.2000000000000455" w:val="single" w:color="#000000"/>
              <w:end w:sz="6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68"/>
            <w:tcBorders>
              <w:start w:sz="6.0" w:val="single" w:color="#000000"/>
              <w:top w:sz="7.2000000000000455" w:val="single" w:color="#000000"/>
              <w:end w:sz="6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62"/>
            <w:tcBorders>
              <w:start w:sz="6.0" w:val="single" w:color="#000000"/>
              <w:top w:sz="7.2000000000000455" w:val="single" w:color="#000000"/>
              <w:end w:sz="6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96"/>
            <w:tcBorders>
              <w:start w:sz="6.0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4"/>
        </w:trPr>
        <w:tc>
          <w:tcPr>
            <w:tcW w:type="dxa" w:w="2580"/>
            <w:vMerge w:val="restart"/>
            <w:tcBorders>
              <w:start w:sz="6.400000000000091" w:val="single" w:color="#000000"/>
              <w:top w:sz="7.2000000000000455" w:val="single" w:color="#000000"/>
              <w:end w:sz="6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8" w:after="0"/>
              <w:ind w:left="0" w:right="0" w:firstLine="0"/>
              <w:jc w:val="center"/>
            </w:pPr>
            <w:r>
              <w:rPr>
                <w:w w:val="104.31900891390713"/>
                <w:rFonts w:ascii="Aptos" w:hAnsi="Aptos" w:eastAsia="Aptos"/>
                <w:b/>
                <w:i w:val="0"/>
                <w:color w:val="000000"/>
                <w:sz w:val="11"/>
              </w:rPr>
              <w:t xml:space="preserve">Eixo 2 — Planejamento Setorial, Universalização e </w:t>
            </w:r>
            <w:r>
              <w:rPr>
                <w:w w:val="104.31900891390713"/>
                <w:rFonts w:ascii="Aptos" w:hAnsi="Aptos" w:eastAsia="Aptos"/>
                <w:b/>
                <w:i w:val="0"/>
                <w:color w:val="000000"/>
                <w:sz w:val="11"/>
              </w:rPr>
              <w:t>Segurança Hídrica</w:t>
            </w:r>
          </w:p>
        </w:tc>
        <w:tc>
          <w:tcPr>
            <w:tcW w:type="dxa" w:w="3064"/>
            <w:tcBorders>
              <w:start w:sz="6.0" w:val="single" w:color="#000000"/>
              <w:top w:sz="7.2000000000000455" w:val="single" w:color="#000000"/>
              <w:end w:sz="6.0" w:val="single" w:color="#000000"/>
              <w:bottom w:sz="6.0" w:val="single" w:color="#000000"/>
            </w:tcBorders>
            <w:shd w:fill="fae1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0" w:right="0" w:firstLine="0"/>
              <w:jc w:val="center"/>
            </w:pPr>
            <w:r>
              <w:rPr>
                <w:w w:val="104.31900891390713"/>
                <w:rFonts w:ascii="Aptos Narrow" w:hAnsi="Aptos Narrow" w:eastAsia="Aptos Narrow"/>
                <w:b w:val="0"/>
                <w:i w:val="0"/>
                <w:color w:val="000000"/>
                <w:sz w:val="11"/>
              </w:rPr>
              <w:t>2.1. Conteúdo Mínimo PMSBs</w:t>
            </w:r>
          </w:p>
        </w:tc>
        <w:tc>
          <w:tcPr>
            <w:tcW w:type="dxa" w:w="2968"/>
            <w:tcBorders>
              <w:start w:sz="6.0" w:val="single" w:color="#000000"/>
              <w:top w:sz="7.2000000000000455" w:val="single" w:color="#000000"/>
              <w:end w:sz="6.0" w:val="single" w:color="#000000"/>
              <w:bottom w:sz="6.0" w:val="single" w:color="#000000"/>
            </w:tcBorders>
            <w:shd w:fill="fae1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w w:val="104.31900891390713"/>
                <w:rFonts w:ascii="Aptos Narrow" w:hAnsi="Aptos Narrow" w:eastAsia="Aptos Narrow"/>
                <w:b w:val="0"/>
                <w:i w:val="0"/>
                <w:color w:val="000000"/>
                <w:sz w:val="11"/>
              </w:rPr>
              <w:t xml:space="preserve">2.3. Adoção da NR ANA nº 15/2025 - Redução Progressiva e </w:t>
            </w:r>
            <w:r>
              <w:rPr>
                <w:w w:val="104.31900891390713"/>
                <w:rFonts w:ascii="Aptos Narrow" w:hAnsi="Aptos Narrow" w:eastAsia="Aptos Narrow"/>
                <w:b w:val="0"/>
                <w:i w:val="0"/>
                <w:color w:val="000000"/>
                <w:sz w:val="11"/>
              </w:rPr>
              <w:t>Controle de Perdas de Água</w:t>
            </w:r>
          </w:p>
        </w:tc>
        <w:tc>
          <w:tcPr>
            <w:tcW w:type="dxa" w:w="2862"/>
            <w:vMerge w:val="restart"/>
            <w:tcBorders>
              <w:start w:sz="6.0" w:val="single" w:color="#000000"/>
              <w:top w:sz="7.2000000000000455" w:val="single" w:color="#000000"/>
              <w:end w:sz="6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696"/>
            <w:tcBorders>
              <w:start w:sz="6.0" w:val="single" w:color="#000000"/>
              <w:top w:sz="7.2000000000000455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6"/>
        </w:trPr>
        <w:tc>
          <w:tcPr>
            <w:tcW w:type="dxa" w:w="2843"/>
            <w:vMerge/>
            <w:tcBorders>
              <w:start w:sz="6.400000000000091" w:val="single" w:color="#000000"/>
              <w:top w:sz="7.2000000000000455" w:val="single" w:color="#000000"/>
              <w:end w:sz="6.0" w:val="single" w:color="#000000"/>
              <w:bottom w:sz="7.200000000000273" w:val="single" w:color="#000000"/>
            </w:tcBorders>
          </w:tcPr>
          <w:p/>
        </w:tc>
        <w:tc>
          <w:tcPr>
            <w:tcW w:type="dxa" w:w="3064"/>
            <w:tcBorders>
              <w:start w:sz="6.0" w:val="single" w:color="#000000"/>
              <w:top w:sz="6.0" w:val="single" w:color="#000000"/>
              <w:end w:sz="6.0" w:val="single" w:color="#000000"/>
              <w:bottom w:sz="7.200000000000273" w:val="single" w:color="#000000"/>
            </w:tcBorders>
            <w:shd w:fill="fae1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288" w:right="288" w:firstLine="0"/>
              <w:jc w:val="center"/>
            </w:pPr>
            <w:r>
              <w:rPr>
                <w:w w:val="104.31900891390713"/>
                <w:rFonts w:ascii="Aptos Narrow" w:hAnsi="Aptos Narrow" w:eastAsia="Aptos Narrow"/>
                <w:b w:val="0"/>
                <w:i w:val="0"/>
                <w:color w:val="000000"/>
                <w:sz w:val="11"/>
              </w:rPr>
              <w:t xml:space="preserve">2.2. Procedimentos Regulatórios - Escassez Hídrica e </w:t>
            </w:r>
            <w:r>
              <w:rPr>
                <w:w w:val="104.31900891390713"/>
                <w:rFonts w:ascii="Aptos Narrow" w:hAnsi="Aptos Narrow" w:eastAsia="Aptos Narrow"/>
                <w:b w:val="0"/>
                <w:i w:val="0"/>
                <w:color w:val="000000"/>
                <w:sz w:val="11"/>
              </w:rPr>
              <w:t>Desabastecimento de Água</w:t>
            </w:r>
          </w:p>
        </w:tc>
        <w:tc>
          <w:tcPr>
            <w:tcW w:type="dxa" w:w="2968"/>
            <w:tcBorders>
              <w:start w:sz="6.0" w:val="single" w:color="#000000"/>
              <w:top w:sz="6.0" w:val="single" w:color="#000000"/>
              <w:end w:sz="6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43"/>
            <w:vMerge/>
            <w:tcBorders>
              <w:start w:sz="6.0" w:val="single" w:color="#000000"/>
              <w:top w:sz="7.2000000000000455" w:val="single" w:color="#000000"/>
              <w:end w:sz="6.0" w:val="single" w:color="#000000"/>
              <w:bottom w:sz="7.200000000000273" w:val="single" w:color="#000000"/>
            </w:tcBorders>
          </w:tcPr>
          <w:p/>
        </w:tc>
        <w:tc>
          <w:tcPr>
            <w:tcW w:type="dxa" w:w="2696"/>
            <w:tcBorders>
              <w:start w:sz="6.0" w:val="single" w:color="#000000"/>
              <w:top w:sz="6.0" w:val="single" w:color="#000000"/>
              <w:end w:sz="7.199999999999818" w:val="single" w:color="#000000"/>
              <w:bottom w:sz="7.200000000000273" w:val="single" w:color="#000000"/>
            </w:tcBorders>
            <w:shd w:fill="fae1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w w:val="104.31900891390713"/>
                <w:rFonts w:ascii="Aptos Narrow" w:hAnsi="Aptos Narrow" w:eastAsia="Aptos Narrow"/>
                <w:b w:val="0"/>
                <w:i w:val="0"/>
                <w:color w:val="000000"/>
                <w:sz w:val="11"/>
              </w:rPr>
              <w:t xml:space="preserve">2.4. Estruturação dos Serviços Públicos de Drenagem e </w:t>
            </w:r>
            <w:r>
              <w:rPr>
                <w:w w:val="104.31900891390713"/>
                <w:rFonts w:ascii="Aptos Narrow" w:hAnsi="Aptos Narrow" w:eastAsia="Aptos Narrow"/>
                <w:b w:val="0"/>
                <w:i w:val="0"/>
                <w:color w:val="000000"/>
                <w:sz w:val="11"/>
              </w:rPr>
              <w:t>Manejo de Águas Pluviais Urbanas</w:t>
            </w:r>
          </w:p>
        </w:tc>
      </w:tr>
      <w:tr>
        <w:trPr>
          <w:trHeight w:hRule="exact" w:val="388"/>
        </w:trPr>
        <w:tc>
          <w:tcPr>
            <w:tcW w:type="dxa" w:w="2580"/>
            <w:tcBorders>
              <w:start w:sz="6.400000000000091" w:val="single" w:color="#000000"/>
              <w:top w:sz="7.200000000000273" w:val="single" w:color="#000000"/>
              <w:end w:sz="6.0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64"/>
            <w:tcBorders>
              <w:start w:sz="6.0" w:val="single" w:color="#000000"/>
              <w:top w:sz="7.200000000000273" w:val="single" w:color="#000000"/>
              <w:end w:sz="6.0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68"/>
            <w:tcBorders>
              <w:start w:sz="6.0" w:val="single" w:color="#000000"/>
              <w:top w:sz="7.200000000000273" w:val="single" w:color="#000000"/>
              <w:end w:sz="6.0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62"/>
            <w:tcBorders>
              <w:start w:sz="6.0" w:val="single" w:color="#000000"/>
              <w:top w:sz="7.200000000000273" w:val="single" w:color="#000000"/>
              <w:end w:sz="6.0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96"/>
            <w:tcBorders>
              <w:start w:sz="6.0" w:val="single" w:color="#000000"/>
              <w:top w:sz="7.200000000000273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6"/>
        </w:trPr>
        <w:tc>
          <w:tcPr>
            <w:tcW w:type="dxa" w:w="2580"/>
            <w:vMerge w:val="restart"/>
            <w:tcBorders>
              <w:start w:sz="6.400000000000091" w:val="single" w:color="#000000"/>
              <w:top w:sz="6.400000000000091" w:val="single" w:color="#000000"/>
              <w:end w:sz="6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82" w:after="0"/>
              <w:ind w:left="144" w:right="144" w:firstLine="0"/>
              <w:jc w:val="center"/>
            </w:pPr>
            <w:r>
              <w:rPr>
                <w:w w:val="104.31900891390713"/>
                <w:rFonts w:ascii="Aptos" w:hAnsi="Aptos" w:eastAsia="Aptos"/>
                <w:b/>
                <w:i w:val="0"/>
                <w:color w:val="000000"/>
                <w:sz w:val="11"/>
              </w:rPr>
              <w:t xml:space="preserve">Eixo 3 — Fiscalização, Qualidade dos Serviços e </w:t>
            </w:r>
            <w:r>
              <w:rPr>
                <w:w w:val="104.31900891390713"/>
                <w:rFonts w:ascii="Aptos" w:hAnsi="Aptos" w:eastAsia="Aptos"/>
                <w:b/>
                <w:i w:val="0"/>
                <w:color w:val="000000"/>
                <w:sz w:val="11"/>
              </w:rPr>
              <w:t>Eficiência Operacional</w:t>
            </w:r>
          </w:p>
        </w:tc>
        <w:tc>
          <w:tcPr>
            <w:tcW w:type="dxa" w:w="3064"/>
            <w:tcBorders>
              <w:start w:sz="6.0" w:val="single" w:color="#000000"/>
              <w:top w:sz="6.400000000000091" w:val="single" w:color="#000000"/>
              <w:end w:sz="6.0" w:val="single" w:color="#000000"/>
              <w:bottom w:sz="6.0" w:val="single" w:color="#000000"/>
            </w:tcBorders>
            <w:shd w:fill="c1ef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84" w:after="0"/>
              <w:ind w:left="0" w:right="0" w:firstLine="0"/>
              <w:jc w:val="center"/>
            </w:pPr>
            <w:r>
              <w:rPr>
                <w:w w:val="104.31900891390713"/>
                <w:rFonts w:ascii="Aptos Narrow" w:hAnsi="Aptos Narrow" w:eastAsia="Aptos Narrow"/>
                <w:b w:val="0"/>
                <w:i w:val="0"/>
                <w:color w:val="000000"/>
                <w:sz w:val="11"/>
              </w:rPr>
              <w:t>3.1. Fiscalização Evolutiva</w:t>
            </w:r>
          </w:p>
        </w:tc>
        <w:tc>
          <w:tcPr>
            <w:tcW w:type="dxa" w:w="2968"/>
            <w:tcBorders>
              <w:start w:sz="6.0" w:val="single" w:color="#000000"/>
              <w:top w:sz="6.400000000000091" w:val="single" w:color="#000000"/>
              <w:end w:sz="6.0" w:val="single" w:color="#000000"/>
              <w:bottom w:sz="6.0" w:val="single" w:color="#000000"/>
            </w:tcBorders>
            <w:shd w:fill="c1ef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84" w:after="0"/>
              <w:ind w:left="0" w:right="0" w:firstLine="0"/>
              <w:jc w:val="center"/>
            </w:pPr>
            <w:r>
              <w:rPr>
                <w:w w:val="104.31900891390713"/>
                <w:rFonts w:ascii="Aptos Narrow" w:hAnsi="Aptos Narrow" w:eastAsia="Aptos Narrow"/>
                <w:b w:val="0"/>
                <w:i w:val="0"/>
                <w:color w:val="000000"/>
                <w:sz w:val="11"/>
              </w:rPr>
              <w:t>3.4. Manual de Avaliação de Investimentos</w:t>
            </w:r>
          </w:p>
        </w:tc>
        <w:tc>
          <w:tcPr>
            <w:tcW w:type="dxa" w:w="2862"/>
            <w:tcBorders>
              <w:start w:sz="6.0" w:val="single" w:color="#000000"/>
              <w:top w:sz="6.400000000000091" w:val="single" w:color="#000000"/>
              <w:end w:sz="6.0" w:val="single" w:color="#000000"/>
              <w:bottom w:sz="6.0" w:val="single" w:color="#000000"/>
            </w:tcBorders>
            <w:shd w:fill="c1ef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26" w:after="0"/>
              <w:ind w:left="0" w:right="0" w:firstLine="0"/>
              <w:jc w:val="center"/>
            </w:pPr>
            <w:r>
              <w:rPr>
                <w:w w:val="104.31900891390713"/>
                <w:rFonts w:ascii="Aptos Narrow" w:hAnsi="Aptos Narrow" w:eastAsia="Aptos Narrow"/>
                <w:b w:val="0"/>
                <w:i w:val="0"/>
                <w:color w:val="000000"/>
                <w:sz w:val="11"/>
              </w:rPr>
              <w:t xml:space="preserve">3.7. Adoção da NR ANA nº 11/2024 - Condições Gerais para </w:t>
            </w:r>
            <w:r>
              <w:rPr>
                <w:w w:val="104.31900891390713"/>
                <w:rFonts w:ascii="Aptos Narrow" w:hAnsi="Aptos Narrow" w:eastAsia="Aptos Narrow"/>
                <w:b w:val="0"/>
                <w:i w:val="0"/>
                <w:color w:val="000000"/>
                <w:sz w:val="11"/>
              </w:rPr>
              <w:t xml:space="preserve">prestação dos serviços públicos de abastecimento de água e </w:t>
            </w:r>
            <w:r>
              <w:rPr>
                <w:w w:val="104.31900891390713"/>
                <w:rFonts w:ascii="Aptos Narrow" w:hAnsi="Aptos Narrow" w:eastAsia="Aptos Narrow"/>
                <w:b w:val="0"/>
                <w:i w:val="0"/>
                <w:color w:val="000000"/>
                <w:sz w:val="11"/>
              </w:rPr>
              <w:t>esgotamento sanitário</w:t>
            </w:r>
          </w:p>
        </w:tc>
        <w:tc>
          <w:tcPr>
            <w:tcW w:type="dxa" w:w="2696"/>
            <w:tcBorders>
              <w:start w:sz="6.0" w:val="single" w:color="#000000"/>
              <w:top w:sz="6.400000000000091" w:val="single" w:color="#000000"/>
              <w:end w:sz="7.199999999999818" w:val="single" w:color="#000000"/>
              <w:bottom w:sz="6.0" w:val="single" w:color="#000000"/>
            </w:tcBorders>
            <w:shd w:fill="c1ef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26" w:after="0"/>
              <w:ind w:left="0" w:right="0" w:firstLine="0"/>
              <w:jc w:val="center"/>
            </w:pPr>
            <w:r>
              <w:rPr>
                <w:w w:val="104.31900891390713"/>
                <w:rFonts w:ascii="Aptos Narrow" w:hAnsi="Aptos Narrow" w:eastAsia="Aptos Narrow"/>
                <w:b w:val="0"/>
                <w:i w:val="0"/>
                <w:color w:val="000000"/>
                <w:sz w:val="11"/>
              </w:rPr>
              <w:t xml:space="preserve">3.8. Condições Gerais da prestação dos serviços públicos </w:t>
            </w:r>
            <w:r>
              <w:rPr>
                <w:w w:val="104.31900891390713"/>
                <w:rFonts w:ascii="Aptos Narrow" w:hAnsi="Aptos Narrow" w:eastAsia="Aptos Narrow"/>
                <w:b w:val="0"/>
                <w:i w:val="0"/>
                <w:color w:val="000000"/>
                <w:sz w:val="11"/>
              </w:rPr>
              <w:t xml:space="preserve">relacionados às soluções alternativas adequadas de </w:t>
            </w:r>
            <w:r>
              <w:rPr>
                <w:w w:val="104.31900891390713"/>
                <w:rFonts w:ascii="Aptos Narrow" w:hAnsi="Aptos Narrow" w:eastAsia="Aptos Narrow"/>
                <w:b w:val="0"/>
                <w:i w:val="0"/>
                <w:color w:val="000000"/>
                <w:sz w:val="11"/>
              </w:rPr>
              <w:t>abastecimento de água e esgotamento sanitário</w:t>
            </w:r>
          </w:p>
        </w:tc>
      </w:tr>
      <w:tr>
        <w:trPr>
          <w:trHeight w:hRule="exact" w:val="388"/>
        </w:trPr>
        <w:tc>
          <w:tcPr>
            <w:tcW w:type="dxa" w:w="2843"/>
            <w:vMerge/>
            <w:tcBorders>
              <w:start w:sz="6.400000000000091" w:val="single" w:color="#000000"/>
              <w:top w:sz="6.400000000000091" w:val="single" w:color="#000000"/>
              <w:end w:sz="6.0" w:val="single" w:color="#000000"/>
              <w:bottom w:sz="7.200000000000273" w:val="single" w:color="#000000"/>
            </w:tcBorders>
          </w:tcPr>
          <w:p/>
        </w:tc>
        <w:tc>
          <w:tcPr>
            <w:tcW w:type="dxa" w:w="306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c1ef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288" w:right="288" w:firstLine="0"/>
              <w:jc w:val="center"/>
            </w:pPr>
            <w:r>
              <w:rPr>
                <w:w w:val="104.31900891390713"/>
                <w:rFonts w:ascii="Aptos Narrow" w:hAnsi="Aptos Narrow" w:eastAsia="Aptos Narrow"/>
                <w:b w:val="0"/>
                <w:i w:val="0"/>
                <w:color w:val="000000"/>
                <w:sz w:val="11"/>
              </w:rPr>
              <w:t xml:space="preserve">3.2. Manual de Fiscalização (Abastecimento de Água e </w:t>
            </w:r>
            <w:r>
              <w:rPr>
                <w:w w:val="104.31900891390713"/>
                <w:rFonts w:ascii="Aptos Narrow" w:hAnsi="Aptos Narrow" w:eastAsia="Aptos Narrow"/>
                <w:b w:val="0"/>
                <w:i w:val="0"/>
                <w:color w:val="000000"/>
                <w:sz w:val="11"/>
              </w:rPr>
              <w:t>Esgotamento Sanitário)</w:t>
            </w:r>
          </w:p>
        </w:tc>
        <w:tc>
          <w:tcPr>
            <w:tcW w:type="dxa" w:w="2968"/>
            <w:vMerge w:val="restart"/>
            <w:tcBorders>
              <w:start w:sz="6.0" w:val="single" w:color="#000000"/>
              <w:top w:sz="6.0" w:val="single" w:color="#000000"/>
              <w:end w:sz="6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862"/>
            <w:vMerge w:val="restart"/>
            <w:tcBorders>
              <w:start w:sz="6.0" w:val="single" w:color="#000000"/>
              <w:top w:sz="6.0" w:val="single" w:color="#000000"/>
              <w:end w:sz="6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696"/>
            <w:vMerge w:val="restart"/>
            <w:tcBorders>
              <w:start w:sz="6.0" w:val="single" w:color="#000000"/>
              <w:top w:sz="6.0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8"/>
        </w:trPr>
        <w:tc>
          <w:tcPr>
            <w:tcW w:type="dxa" w:w="2843"/>
            <w:vMerge/>
            <w:tcBorders>
              <w:start w:sz="6.400000000000091" w:val="single" w:color="#000000"/>
              <w:top w:sz="6.400000000000091" w:val="single" w:color="#000000"/>
              <w:end w:sz="6.0" w:val="single" w:color="#000000"/>
              <w:bottom w:sz="7.200000000000273" w:val="single" w:color="#000000"/>
            </w:tcBorders>
          </w:tcPr>
          <w:p/>
        </w:tc>
        <w:tc>
          <w:tcPr>
            <w:tcW w:type="dxa" w:w="306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c1ef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w w:val="104.31900891390713"/>
                <w:rFonts w:ascii="Aptos Narrow" w:hAnsi="Aptos Narrow" w:eastAsia="Aptos Narrow"/>
                <w:b w:val="0"/>
                <w:i w:val="0"/>
                <w:color w:val="000000"/>
                <w:sz w:val="11"/>
              </w:rPr>
              <w:t xml:space="preserve">3.3. Manual de Fiscalização (Limpeza Urbana e Manejo de </w:t>
            </w:r>
            <w:r>
              <w:rPr>
                <w:w w:val="104.31900891390713"/>
                <w:rFonts w:ascii="Aptos Narrow" w:hAnsi="Aptos Narrow" w:eastAsia="Aptos Narrow"/>
                <w:b w:val="0"/>
                <w:i w:val="0"/>
                <w:color w:val="000000"/>
                <w:sz w:val="11"/>
              </w:rPr>
              <w:t>Resíduos Sólidos)</w:t>
            </w:r>
          </w:p>
        </w:tc>
        <w:tc>
          <w:tcPr>
            <w:tcW w:type="dxa" w:w="2843"/>
            <w:vMerge/>
            <w:tcBorders>
              <w:start w:sz="6.0" w:val="single" w:color="#000000"/>
              <w:top w:sz="6.0" w:val="single" w:color="#000000"/>
              <w:end w:sz="6.0" w:val="single" w:color="#000000"/>
              <w:bottom w:sz="7.200000000000273" w:val="single" w:color="#000000"/>
            </w:tcBorders>
          </w:tcPr>
          <w:p/>
        </w:tc>
        <w:tc>
          <w:tcPr>
            <w:tcW w:type="dxa" w:w="2843"/>
            <w:vMerge/>
            <w:tcBorders>
              <w:start w:sz="6.0" w:val="single" w:color="#000000"/>
              <w:top w:sz="6.0" w:val="single" w:color="#000000"/>
              <w:end w:sz="6.0" w:val="single" w:color="#000000"/>
              <w:bottom w:sz="7.200000000000273" w:val="single" w:color="#000000"/>
            </w:tcBorders>
          </w:tcPr>
          <w:p/>
        </w:tc>
        <w:tc>
          <w:tcPr>
            <w:tcW w:type="dxa" w:w="2843"/>
            <w:vMerge/>
            <w:tcBorders>
              <w:start w:sz="6.0" w:val="single" w:color="#000000"/>
              <w:top w:sz="6.0" w:val="single" w:color="#000000"/>
              <w:end w:sz="7.199999999999818" w:val="single" w:color="#000000"/>
              <w:bottom w:sz="7.200000000000273" w:val="single" w:color="#000000"/>
            </w:tcBorders>
          </w:tcPr>
          <w:p/>
        </w:tc>
      </w:tr>
      <w:tr>
        <w:trPr>
          <w:trHeight w:hRule="exact" w:val="390"/>
        </w:trPr>
        <w:tc>
          <w:tcPr>
            <w:tcW w:type="dxa" w:w="2843"/>
            <w:vMerge/>
            <w:tcBorders>
              <w:start w:sz="6.400000000000091" w:val="single" w:color="#000000"/>
              <w:top w:sz="6.400000000000091" w:val="single" w:color="#000000"/>
              <w:end w:sz="6.0" w:val="single" w:color="#000000"/>
              <w:bottom w:sz="7.200000000000273" w:val="single" w:color="#000000"/>
            </w:tcBorders>
          </w:tcPr>
          <w:p/>
        </w:tc>
        <w:tc>
          <w:tcPr>
            <w:tcW w:type="dxa" w:w="306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shd w:fill="c1ef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0" w:after="0"/>
              <w:ind w:left="0" w:right="0" w:firstLine="0"/>
              <w:jc w:val="center"/>
            </w:pPr>
            <w:r>
              <w:rPr>
                <w:w w:val="104.31900891390713"/>
                <w:rFonts w:ascii="Aptos Narrow" w:hAnsi="Aptos Narrow" w:eastAsia="Aptos Narrow"/>
                <w:b w:val="0"/>
                <w:i w:val="0"/>
                <w:color w:val="000000"/>
                <w:sz w:val="11"/>
              </w:rPr>
              <w:t>3.5. Metodologia ACERTAR</w:t>
            </w:r>
          </w:p>
        </w:tc>
        <w:tc>
          <w:tcPr>
            <w:tcW w:type="dxa" w:w="2843"/>
            <w:vMerge/>
            <w:tcBorders>
              <w:start w:sz="6.0" w:val="single" w:color="#000000"/>
              <w:top w:sz="6.0" w:val="single" w:color="#000000"/>
              <w:end w:sz="6.0" w:val="single" w:color="#000000"/>
              <w:bottom w:sz="7.200000000000273" w:val="single" w:color="#000000"/>
            </w:tcBorders>
          </w:tcPr>
          <w:p/>
        </w:tc>
        <w:tc>
          <w:tcPr>
            <w:tcW w:type="dxa" w:w="2843"/>
            <w:vMerge/>
            <w:tcBorders>
              <w:start w:sz="6.0" w:val="single" w:color="#000000"/>
              <w:top w:sz="6.0" w:val="single" w:color="#000000"/>
              <w:end w:sz="6.0" w:val="single" w:color="#000000"/>
              <w:bottom w:sz="7.200000000000273" w:val="single" w:color="#000000"/>
            </w:tcBorders>
          </w:tcPr>
          <w:p/>
        </w:tc>
        <w:tc>
          <w:tcPr>
            <w:tcW w:type="dxa" w:w="2843"/>
            <w:vMerge/>
            <w:tcBorders>
              <w:start w:sz="6.0" w:val="single" w:color="#000000"/>
              <w:top w:sz="6.0" w:val="single" w:color="#000000"/>
              <w:end w:sz="7.199999999999818" w:val="single" w:color="#000000"/>
              <w:bottom w:sz="7.200000000000273" w:val="single" w:color="#000000"/>
            </w:tcBorders>
          </w:tcPr>
          <w:p/>
        </w:tc>
      </w:tr>
      <w:tr>
        <w:trPr>
          <w:trHeight w:hRule="exact" w:val="384"/>
        </w:trPr>
        <w:tc>
          <w:tcPr>
            <w:tcW w:type="dxa" w:w="2843"/>
            <w:vMerge/>
            <w:tcBorders>
              <w:start w:sz="6.400000000000091" w:val="single" w:color="#000000"/>
              <w:top w:sz="6.400000000000091" w:val="single" w:color="#000000"/>
              <w:end w:sz="6.0" w:val="single" w:color="#000000"/>
              <w:bottom w:sz="7.200000000000273" w:val="single" w:color="#000000"/>
            </w:tcBorders>
          </w:tcPr>
          <w:p/>
        </w:tc>
        <w:tc>
          <w:tcPr>
            <w:tcW w:type="dxa" w:w="3064"/>
            <w:tcBorders>
              <w:start w:sz="6.0" w:val="single" w:color="#000000"/>
              <w:top w:sz="6.0" w:val="single" w:color="#000000"/>
              <w:end w:sz="6.0" w:val="single" w:color="#000000"/>
              <w:bottom w:sz="7.200000000000273" w:val="single" w:color="#000000"/>
            </w:tcBorders>
            <w:shd w:fill="c1ef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w w:val="104.31900891390713"/>
                <w:rFonts w:ascii="Aptos Narrow" w:hAnsi="Aptos Narrow" w:eastAsia="Aptos Narrow"/>
                <w:b w:val="0"/>
                <w:i w:val="0"/>
                <w:color w:val="000000"/>
                <w:sz w:val="11"/>
              </w:rPr>
              <w:t xml:space="preserve">3.6. Adoção da NR ANA nº 09/2024 - Indicadores Operacionais </w:t>
            </w:r>
            <w:r>
              <w:rPr>
                <w:w w:val="104.31900891390713"/>
                <w:rFonts w:ascii="Aptos Narrow" w:hAnsi="Aptos Narrow" w:eastAsia="Aptos Narrow"/>
                <w:b w:val="0"/>
                <w:i w:val="0"/>
                <w:color w:val="000000"/>
                <w:sz w:val="11"/>
              </w:rPr>
              <w:t>A&amp;E</w:t>
            </w:r>
          </w:p>
        </w:tc>
        <w:tc>
          <w:tcPr>
            <w:tcW w:type="dxa" w:w="2843"/>
            <w:vMerge/>
            <w:tcBorders>
              <w:start w:sz="6.0" w:val="single" w:color="#000000"/>
              <w:top w:sz="6.0" w:val="single" w:color="#000000"/>
              <w:end w:sz="6.0" w:val="single" w:color="#000000"/>
              <w:bottom w:sz="7.200000000000273" w:val="single" w:color="#000000"/>
            </w:tcBorders>
          </w:tcPr>
          <w:p/>
        </w:tc>
        <w:tc>
          <w:tcPr>
            <w:tcW w:type="dxa" w:w="2843"/>
            <w:vMerge/>
            <w:tcBorders>
              <w:start w:sz="6.0" w:val="single" w:color="#000000"/>
              <w:top w:sz="6.0" w:val="single" w:color="#000000"/>
              <w:end w:sz="6.0" w:val="single" w:color="#000000"/>
              <w:bottom w:sz="7.200000000000273" w:val="single" w:color="#000000"/>
            </w:tcBorders>
          </w:tcPr>
          <w:p/>
        </w:tc>
        <w:tc>
          <w:tcPr>
            <w:tcW w:type="dxa" w:w="2843"/>
            <w:vMerge/>
            <w:tcBorders>
              <w:start w:sz="6.0" w:val="single" w:color="#000000"/>
              <w:top w:sz="6.0" w:val="single" w:color="#000000"/>
              <w:end w:sz="7.199999999999818" w:val="single" w:color="#000000"/>
              <w:bottom w:sz="7.200000000000273" w:val="single" w:color="#000000"/>
            </w:tcBorders>
          </w:tcPr>
          <w:p/>
        </w:tc>
      </w:tr>
      <w:tr>
        <w:trPr>
          <w:trHeight w:hRule="exact" w:val="390"/>
        </w:trPr>
        <w:tc>
          <w:tcPr>
            <w:tcW w:type="dxa" w:w="2580"/>
            <w:tcBorders>
              <w:start w:sz="6.400000000000091" w:val="single" w:color="#000000"/>
              <w:top w:sz="7.200000000000273" w:val="single" w:color="#000000"/>
              <w:end w:sz="6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64"/>
            <w:tcBorders>
              <w:start w:sz="6.0" w:val="single" w:color="#000000"/>
              <w:top w:sz="7.200000000000273" w:val="single" w:color="#000000"/>
              <w:end w:sz="6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68"/>
            <w:tcBorders>
              <w:start w:sz="6.0" w:val="single" w:color="#000000"/>
              <w:top w:sz="7.200000000000273" w:val="single" w:color="#000000"/>
              <w:end w:sz="6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62"/>
            <w:tcBorders>
              <w:start w:sz="6.0" w:val="single" w:color="#000000"/>
              <w:top w:sz="7.200000000000273" w:val="single" w:color="#000000"/>
              <w:end w:sz="6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96"/>
            <w:tcBorders>
              <w:start w:sz="6.0" w:val="single" w:color="#000000"/>
              <w:top w:sz="7.200000000000273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0"/>
        </w:trPr>
        <w:tc>
          <w:tcPr>
            <w:tcW w:type="dxa" w:w="2580"/>
            <w:tcBorders>
              <w:start w:sz="6.400000000000091" w:val="single" w:color="#000000"/>
              <w:top w:sz="7.199999999999818" w:val="single" w:color="#000000"/>
              <w:end w:sz="6.0" w:val="single" w:color="#000000"/>
              <w:bottom w:sz="7.1999999999998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w w:val="104.31900891390713"/>
                <w:rFonts w:ascii="Aptos" w:hAnsi="Aptos" w:eastAsia="Aptos"/>
                <w:b/>
                <w:i w:val="0"/>
                <w:color w:val="000000"/>
                <w:sz w:val="11"/>
              </w:rPr>
              <w:t xml:space="preserve">Eixo 4 — Governança, Qualidade Regulatória e Gestão </w:t>
            </w:r>
            <w:r>
              <w:rPr>
                <w:w w:val="104.31900891390713"/>
                <w:rFonts w:ascii="Aptos" w:hAnsi="Aptos" w:eastAsia="Aptos"/>
                <w:b/>
                <w:i w:val="0"/>
                <w:color w:val="000000"/>
                <w:sz w:val="11"/>
              </w:rPr>
              <w:t>da Informação</w:t>
            </w:r>
          </w:p>
        </w:tc>
        <w:tc>
          <w:tcPr>
            <w:tcW w:type="dxa" w:w="3064"/>
            <w:tcBorders>
              <w:start w:sz="6.0" w:val="single" w:color="#000000"/>
              <w:top w:sz="7.199999999999818" w:val="single" w:color="#000000"/>
              <w:end w:sz="6.0" w:val="single" w:color="#000000"/>
              <w:bottom w:sz="7.1999999999998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0" w:after="0"/>
              <w:ind w:left="0" w:right="0" w:firstLine="0"/>
              <w:jc w:val="center"/>
            </w:pPr>
            <w:r>
              <w:rPr>
                <w:w w:val="104.31900891390713"/>
                <w:rFonts w:ascii="Aptos Narrow" w:hAnsi="Aptos Narrow" w:eastAsia="Aptos Narrow"/>
                <w:b w:val="0"/>
                <w:i w:val="0"/>
                <w:color w:val="000000"/>
                <w:sz w:val="11"/>
              </w:rPr>
              <w:t>4.1. Qualidade Regulatória</w:t>
            </w:r>
          </w:p>
        </w:tc>
        <w:tc>
          <w:tcPr>
            <w:tcW w:type="dxa" w:w="2968"/>
            <w:tcBorders>
              <w:start w:sz="6.0" w:val="single" w:color="#000000"/>
              <w:top w:sz="7.199999999999818" w:val="single" w:color="#000000"/>
              <w:end w:sz="6.0" w:val="single" w:color="#000000"/>
              <w:bottom w:sz="7.1999999999998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0" w:after="0"/>
              <w:ind w:left="0" w:right="0" w:firstLine="0"/>
              <w:jc w:val="center"/>
            </w:pPr>
            <w:r>
              <w:rPr>
                <w:w w:val="104.31900891390713"/>
                <w:rFonts w:ascii="Aptos Narrow" w:hAnsi="Aptos Narrow" w:eastAsia="Aptos Narrow"/>
                <w:b w:val="0"/>
                <w:i w:val="0"/>
                <w:color w:val="000000"/>
                <w:sz w:val="11"/>
              </w:rPr>
              <w:t>4.2. Gestão do Estoque Regulatório</w:t>
            </w:r>
          </w:p>
        </w:tc>
        <w:tc>
          <w:tcPr>
            <w:tcW w:type="dxa" w:w="2862"/>
            <w:tcBorders>
              <w:start w:sz="6.0" w:val="single" w:color="#000000"/>
              <w:top w:sz="7.199999999999818" w:val="single" w:color="#000000"/>
              <w:end w:sz="6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96"/>
            <w:tcBorders>
              <w:start w:sz="6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6"/>
        </w:trPr>
        <w:tc>
          <w:tcPr>
            <w:tcW w:type="dxa" w:w="2580"/>
            <w:tcBorders>
              <w:start w:sz="6.400000000000091" w:val="single" w:color="#000000"/>
              <w:top w:sz="7.199999999999818" w:val="single" w:color="#000000"/>
              <w:end w:sz="6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64"/>
            <w:tcBorders>
              <w:start w:sz="6.0" w:val="single" w:color="#000000"/>
              <w:top w:sz="7.199999999999818" w:val="single" w:color="#000000"/>
              <w:end w:sz="6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68"/>
            <w:tcBorders>
              <w:start w:sz="6.0" w:val="single" w:color="#000000"/>
              <w:top w:sz="7.199999999999818" w:val="single" w:color="#000000"/>
              <w:end w:sz="6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62"/>
            <w:tcBorders>
              <w:start w:sz="6.0" w:val="single" w:color="#000000"/>
              <w:top w:sz="7.199999999999818" w:val="single" w:color="#000000"/>
              <w:end w:sz="6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96"/>
            <w:tcBorders>
              <w:start w:sz="6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4"/>
        </w:trPr>
        <w:tc>
          <w:tcPr>
            <w:tcW w:type="dxa" w:w="2580"/>
            <w:vMerge w:val="restart"/>
            <w:tcBorders>
              <w:start w:sz="6.400000000000091" w:val="single" w:color="#000000"/>
              <w:top w:sz="7.199999999999818" w:val="single" w:color="#000000"/>
              <w:end w:sz="6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310" w:after="0"/>
              <w:ind w:left="0" w:right="0" w:firstLine="0"/>
              <w:jc w:val="center"/>
            </w:pPr>
            <w:r>
              <w:rPr>
                <w:w w:val="104.31900891390713"/>
                <w:rFonts w:ascii="Aptos" w:hAnsi="Aptos" w:eastAsia="Aptos"/>
                <w:b/>
                <w:i w:val="0"/>
                <w:color w:val="000000"/>
                <w:sz w:val="11"/>
              </w:rPr>
              <w:t>Eixo 5 — Usuários, Comunicação e Participação Social</w:t>
            </w:r>
          </w:p>
        </w:tc>
        <w:tc>
          <w:tcPr>
            <w:tcW w:type="dxa" w:w="3064"/>
            <w:tcBorders>
              <w:start w:sz="6.0" w:val="single" w:color="#000000"/>
              <w:top w:sz="7.199999999999818" w:val="single" w:color="#000000"/>
              <w:end w:sz="6.0" w:val="single" w:color="#000000"/>
              <w:bottom w:sz="6.0" w:val="single" w:color="#000000"/>
            </w:tcBorders>
            <w:shd w:fill="f1ce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0" w:right="0" w:firstLine="0"/>
              <w:jc w:val="center"/>
            </w:pPr>
            <w:r>
              <w:rPr>
                <w:w w:val="104.31900891390713"/>
                <w:rFonts w:ascii="Aptos Narrow" w:hAnsi="Aptos Narrow" w:eastAsia="Aptos Narrow"/>
                <w:b w:val="0"/>
                <w:i w:val="0"/>
                <w:color w:val="000000"/>
                <w:sz w:val="11"/>
              </w:rPr>
              <w:t>5.3. Aprimoramento da Resolução nº 49/2014</w:t>
            </w:r>
          </w:p>
        </w:tc>
        <w:tc>
          <w:tcPr>
            <w:tcW w:type="dxa" w:w="2968"/>
            <w:vMerge w:val="restart"/>
            <w:tcBorders>
              <w:start w:sz="6.0" w:val="single" w:color="#000000"/>
              <w:top w:sz="7.199999999999818" w:val="single" w:color="#000000"/>
              <w:end w:sz="6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862"/>
            <w:tcBorders>
              <w:start w:sz="6.0" w:val="single" w:color="#000000"/>
              <w:top w:sz="7.199999999999818" w:val="single" w:color="#000000"/>
              <w:end w:sz="6.0" w:val="single" w:color="#000000"/>
              <w:bottom w:sz="6.0" w:val="single" w:color="#000000"/>
            </w:tcBorders>
            <w:shd w:fill="f1ce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w w:val="104.31900891390713"/>
                <w:rFonts w:ascii="Aptos Narrow" w:hAnsi="Aptos Narrow" w:eastAsia="Aptos Narrow"/>
                <w:b w:val="0"/>
                <w:i w:val="0"/>
                <w:color w:val="000000"/>
                <w:sz w:val="11"/>
              </w:rPr>
              <w:t xml:space="preserve">5.1 Implementação das Diretrizes da Política Nacional de </w:t>
            </w:r>
            <w:r>
              <w:rPr>
                <w:w w:val="104.31900891390713"/>
                <w:rFonts w:ascii="Aptos Narrow" w:hAnsi="Aptos Narrow" w:eastAsia="Aptos Narrow"/>
                <w:b w:val="0"/>
                <w:i w:val="0"/>
                <w:color w:val="000000"/>
                <w:sz w:val="11"/>
              </w:rPr>
              <w:t>Linguagem Simples</w:t>
            </w:r>
          </w:p>
        </w:tc>
        <w:tc>
          <w:tcPr>
            <w:tcW w:type="dxa" w:w="2696"/>
            <w:vMerge w:val="restart"/>
            <w:tcBorders>
              <w:start w:sz="6.0" w:val="single" w:color="#000000"/>
              <w:top w:sz="7.199999999999818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6"/>
        </w:trPr>
        <w:tc>
          <w:tcPr>
            <w:tcW w:type="dxa" w:w="2843"/>
            <w:vMerge/>
            <w:tcBorders>
              <w:start w:sz="6.400000000000091" w:val="single" w:color="#000000"/>
              <w:top w:sz="7.199999999999818" w:val="single" w:color="#000000"/>
              <w:end w:sz="6.0" w:val="single" w:color="#000000"/>
              <w:bottom w:sz="7.200000000000273" w:val="single" w:color="#000000"/>
            </w:tcBorders>
          </w:tcPr>
          <w:p/>
        </w:tc>
        <w:tc>
          <w:tcPr>
            <w:tcW w:type="dxa" w:w="3064"/>
            <w:tcBorders>
              <w:start w:sz="6.0" w:val="single" w:color="#000000"/>
              <w:top w:sz="6.0" w:val="single" w:color="#000000"/>
              <w:end w:sz="6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43"/>
            <w:vMerge/>
            <w:tcBorders>
              <w:start w:sz="6.0" w:val="single" w:color="#000000"/>
              <w:top w:sz="7.199999999999818" w:val="single" w:color="#000000"/>
              <w:end w:sz="6.0" w:val="single" w:color="#000000"/>
              <w:bottom w:sz="7.200000000000273" w:val="single" w:color="#000000"/>
            </w:tcBorders>
          </w:tcPr>
          <w:p/>
        </w:tc>
        <w:tc>
          <w:tcPr>
            <w:tcW w:type="dxa" w:w="2862"/>
            <w:tcBorders>
              <w:start w:sz="6.0" w:val="single" w:color="#000000"/>
              <w:top w:sz="6.0" w:val="single" w:color="#000000"/>
              <w:end w:sz="6.0" w:val="single" w:color="#000000"/>
              <w:bottom w:sz="7.200000000000273" w:val="single" w:color="#000000"/>
            </w:tcBorders>
            <w:shd w:fill="f1ce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0" w:after="0"/>
              <w:ind w:left="0" w:right="0" w:firstLine="0"/>
              <w:jc w:val="center"/>
            </w:pPr>
            <w:r>
              <w:rPr>
                <w:w w:val="104.31900891390713"/>
                <w:rFonts w:ascii="Aptos Narrow" w:hAnsi="Aptos Narrow" w:eastAsia="Aptos Narrow"/>
                <w:b w:val="0"/>
                <w:i w:val="0"/>
                <w:color w:val="000000"/>
                <w:sz w:val="11"/>
              </w:rPr>
              <w:t>5.2 Pesquisa de Satisfação 2026</w:t>
            </w:r>
          </w:p>
        </w:tc>
        <w:tc>
          <w:tcPr>
            <w:tcW w:type="dxa" w:w="2843"/>
            <w:vMerge/>
            <w:tcBorders>
              <w:start w:sz="6.0" w:val="single" w:color="#000000"/>
              <w:top w:sz="7.199999999999818" w:val="single" w:color="#000000"/>
              <w:end w:sz="7.199999999999818" w:val="single" w:color="#000000"/>
              <w:bottom w:sz="7.200000000000273" w:val="single" w:color="#000000"/>
            </w:tcBorders>
          </w:tcPr>
          <w:p/>
        </w:tc>
      </w:tr>
    </w:tbl>
    <w:p>
      <w:pPr>
        <w:autoSpaceDN w:val="0"/>
        <w:tabs>
          <w:tab w:pos="11350" w:val="left"/>
        </w:tabs>
        <w:autoSpaceDE w:val="0"/>
        <w:widowControl/>
        <w:spacing w:line="197" w:lineRule="auto" w:before="758" w:after="0"/>
        <w:ind w:left="17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688 – 18/02/2026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25 </w:t>
      </w:r>
    </w:p>
    <w:sectPr w:rsidR="00FC693F" w:rsidRPr="0006063C" w:rsidSect="00034616">
      <w:pgSz w:w="16838" w:h="11906"/>
      <w:pgMar w:top="164" w:right="1192" w:bottom="510" w:left="143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